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drawings/drawing5.xml" ContentType="application/vnd.openxmlformats-officedocument.drawingml.chartshapes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drawings/drawing6.xml" ContentType="application/vnd.openxmlformats-officedocument.drawingml.chartshapes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drawings/drawing9.xml" ContentType="application/vnd.openxmlformats-officedocument.drawingml.chartshapes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7.xml" ContentType="application/vnd.openxmlformats-officedocument.themeOverride+xml"/>
  <Override PartName="/word/drawings/drawing10.xml" ContentType="application/vnd.openxmlformats-officedocument.drawingml.chartshapes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0C8B" w14:textId="540F00EC" w:rsidR="004E5468" w:rsidRDefault="00046060" w:rsidP="004E5468">
      <w:pPr>
        <w:pStyle w:val="Sinespaciado"/>
        <w:rPr>
          <w:noProof/>
        </w:rPr>
      </w:pPr>
      <w:bookmarkStart w:id="0" w:name="_Hlk49250386"/>
      <w:bookmarkStart w:id="1" w:name="_Toc410402057"/>
      <w:bookmarkStart w:id="2" w:name="_Toc457550818"/>
      <w:bookmarkEnd w:id="0"/>
      <w:r>
        <w:rPr>
          <w:rFonts w:ascii="Times New Roman" w:hAnsi="Times New Roman" w:cs="Times New Roman"/>
          <w:sz w:val="2"/>
          <w:szCs w:val="24"/>
          <w:lang w:val="es-ES_tradnl" w:eastAsia="es-ES"/>
        </w:rPr>
        <w:tab/>
      </w:r>
    </w:p>
    <w:sdt>
      <w:sdtPr>
        <w:id w:val="139222596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77F76942" w14:textId="415DBC1F" w:rsidR="004E5468" w:rsidRPr="00954142" w:rsidRDefault="004E5468">
          <w:r w:rsidRPr="0095414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2" behindDoc="0" locked="0" layoutInCell="1" allowOverlap="1" wp14:anchorId="698E0BB9" wp14:editId="0964B71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4F28D43" id="Grupo 51" o:spid="_x0000_s1026" style="position:absolute;margin-left:0;margin-top:0;width:8in;height:95.7pt;z-index:25168077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95414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64643A13" wp14:editId="4406C75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BE0F22" w14:textId="107A6120" w:rsidR="004E5468" w:rsidRPr="00FF1609" w:rsidRDefault="00C10517" w:rsidP="008864EA">
                                <w:pPr>
                                  <w:pStyle w:val="Sinespaciado"/>
                                  <w:ind w:left="-709"/>
                                  <w:jc w:val="right"/>
                                  <w:rPr>
                                    <w:color w:val="4F81BD" w:themeColor="accent1"/>
                                    <w:sz w:val="44"/>
                                    <w:szCs w:val="44"/>
                                  </w:rPr>
                                </w:pPr>
                                <w:r w:rsidRPr="00FF1609">
                                  <w:rPr>
                                    <w:color w:val="4F81BD" w:themeColor="accent1"/>
                                    <w:sz w:val="44"/>
                                    <w:szCs w:val="44"/>
                                  </w:rPr>
                                  <w:t xml:space="preserve">Informe </w:t>
                                </w:r>
                                <w:r w:rsidR="00AA58D4">
                                  <w:rPr>
                                    <w:color w:val="4F81BD" w:themeColor="accent1"/>
                                    <w:sz w:val="44"/>
                                    <w:szCs w:val="44"/>
                                  </w:rPr>
                                  <w:t>para el Gobierno General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</w:rPr>
                                  <w:alias w:val="Descripción breve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645757C7" w14:textId="62169BFE" w:rsidR="004E5468" w:rsidRDefault="00C10517" w:rsidP="00CA7491">
                                    <w:pPr>
                                      <w:pStyle w:val="Sinespaciado"/>
                                      <w:spacing w:before="0"/>
                                      <w:jc w:val="right"/>
                                      <w:rPr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</w:rPr>
                                      <w:t>Dirección de Análisis y Política Fiscal</w:t>
                                    </w:r>
                                  </w:p>
                                </w:sdtContent>
                              </w:sdt>
                              <w:p w14:paraId="4D8FA549" w14:textId="3B95ECF8" w:rsidR="00FF1609" w:rsidRDefault="00FF1609" w:rsidP="00CA7491">
                                <w:pPr>
                                  <w:pStyle w:val="Sinespaciado"/>
                                  <w:spacing w:before="0"/>
                                  <w:jc w:val="right"/>
                                  <w:rPr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</w:rPr>
                                  <w:t>Ministerio de Finanzas Públicas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64643A1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3" o:spid="_x0000_s1026" type="#_x0000_t202" style="position:absolute;left:0;text-align:left;margin-left:0;margin-top:0;width:8in;height:79.5pt;z-index:251658241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CrJfneagIAADkFAAAOAAAAAAAAAAAAAAAAAC4CAABk&#10;cnMvZTJvRG9jLnhtbFBLAQItABQABgAIAAAAIQDGREMM2wAAAAYBAAAPAAAAAAAAAAAAAAAAAMQE&#10;AABkcnMvZG93bnJldi54bWxQSwUGAAAAAAQABADzAAAAzAUAAAAA&#10;" filled="f" stroked="f" strokeweight=".5pt">
                    <v:textbox style="mso-fit-shape-to-text:t" inset="126pt,0,54pt,0">
                      <w:txbxContent>
                        <w:p w14:paraId="26BE0F22" w14:textId="107A6120" w:rsidR="004E5468" w:rsidRPr="00FF1609" w:rsidRDefault="00C10517" w:rsidP="008864EA">
                          <w:pPr>
                            <w:pStyle w:val="Sinespaciado"/>
                            <w:ind w:left="-709"/>
                            <w:jc w:val="right"/>
                            <w:rPr>
                              <w:color w:val="4F81BD" w:themeColor="accent1"/>
                              <w:sz w:val="44"/>
                              <w:szCs w:val="44"/>
                            </w:rPr>
                          </w:pPr>
                          <w:r w:rsidRPr="00FF1609">
                            <w:rPr>
                              <w:color w:val="4F81BD" w:themeColor="accent1"/>
                              <w:sz w:val="44"/>
                              <w:szCs w:val="44"/>
                            </w:rPr>
                            <w:t xml:space="preserve">Informe </w:t>
                          </w:r>
                          <w:r w:rsidR="00AA58D4">
                            <w:rPr>
                              <w:color w:val="4F81BD" w:themeColor="accent1"/>
                              <w:sz w:val="44"/>
                              <w:szCs w:val="44"/>
                            </w:rPr>
                            <w:t>para el Gobierno General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</w:rPr>
                            <w:alias w:val="Descripción breve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645757C7" w14:textId="62169BFE" w:rsidR="004E5468" w:rsidRDefault="00C10517" w:rsidP="00CA7491">
                              <w:pPr>
                                <w:pStyle w:val="Sinespaciado"/>
                                <w:spacing w:before="0"/>
                                <w:jc w:val="right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Dirección de Análisis y Política Fiscal</w:t>
                              </w:r>
                            </w:p>
                          </w:sdtContent>
                        </w:sdt>
                        <w:p w14:paraId="4D8FA549" w14:textId="3B95ECF8" w:rsidR="00FF1609" w:rsidRDefault="00FF1609" w:rsidP="00CA7491">
                          <w:pPr>
                            <w:pStyle w:val="Sinespaciado"/>
                            <w:spacing w:before="0"/>
                            <w:jc w:val="right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</w:rPr>
                            <w:t>Ministerio de Finanzas Públicas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5414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E7E5FA8" wp14:editId="312891F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CF51A0" w14:textId="60E966E5" w:rsidR="004E5468" w:rsidRDefault="00000000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E5468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Informe de las Finanzas públicas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D7B22EA" w14:textId="40945317" w:rsidR="004E5468" w:rsidRDefault="00B273DB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Segundo</w:t>
                                    </w:r>
                                    <w:r w:rsidR="00C5741B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Trimestre</w:t>
                                    </w:r>
                                    <w:r w:rsidR="004E546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202</w:t>
                                    </w:r>
                                    <w:r w:rsidR="00C5741B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E7E5FA8" id="Cuadro de texto 154" o:spid="_x0000_s1027" type="#_x0000_t202" style="position:absolute;left:0;text-align:left;margin-left:0;margin-top:0;width:8in;height:286.5pt;z-index:25165824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" filled="f" stroked="f" strokeweight=".5pt">
                    <v:textbox inset="126pt,0,54pt,0">
                      <w:txbxContent>
                        <w:p w14:paraId="05CF51A0" w14:textId="60E966E5" w:rsidR="004E5468" w:rsidRDefault="00000000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E5468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Informe de las Finanzas públicas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D7B22EA" w14:textId="40945317" w:rsidR="004E5468" w:rsidRDefault="00B273DB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Segundo</w:t>
                              </w:r>
                              <w:r w:rsidR="00C5741B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Trimestre</w:t>
                              </w:r>
                              <w:r w:rsidR="004E546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202</w:t>
                              </w:r>
                              <w:r w:rsidR="00C5741B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8D4ABDD" w14:textId="27D7DC3D" w:rsidR="004E5468" w:rsidRPr="00954142" w:rsidRDefault="004E5468">
          <w:pPr>
            <w:spacing w:after="200" w:line="276" w:lineRule="auto"/>
            <w:jc w:val="left"/>
            <w:rPr>
              <w:b/>
              <w:bCs/>
              <w:noProof/>
            </w:rPr>
          </w:pPr>
          <w:r w:rsidRPr="00954142">
            <w:rPr>
              <w:rFonts w:eastAsiaTheme="majorEastAsia" w:cs="Times New Roman"/>
              <w:b/>
              <w:bCs/>
              <w:noProof/>
              <w:color w:val="FF0000"/>
              <w:szCs w:val="26"/>
            </w:rPr>
            <w:drawing>
              <wp:anchor distT="0" distB="0" distL="114300" distR="114300" simplePos="0" relativeHeight="251658243" behindDoc="0" locked="0" layoutInCell="1" allowOverlap="1" wp14:anchorId="12279784" wp14:editId="26D5E24E">
                <wp:simplePos x="0" y="0"/>
                <wp:positionH relativeFrom="margin">
                  <wp:align>center</wp:align>
                </wp:positionH>
                <wp:positionV relativeFrom="paragraph">
                  <wp:posOffset>462271</wp:posOffset>
                </wp:positionV>
                <wp:extent cx="1677670" cy="1845310"/>
                <wp:effectExtent l="0" t="0" r="0" b="2540"/>
                <wp:wrapSquare wrapText="bothSides"/>
                <wp:docPr id="292517484" name="Imagen 292517484" descr="Logotipo, nombre de la empresa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026591-938B-AFE1-1A8B-110537A1EC5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517484" name="Imagen 292517484" descr="Logotipo, nombre de la empres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B2026591-938B-AFE1-1A8B-110537A1EC5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57" t="14032" r="16881" b="12626"/>
                        <a:stretch/>
                      </pic:blipFill>
                      <pic:spPr bwMode="auto">
                        <a:xfrm>
                          <a:off x="0" y="0"/>
                          <a:ext cx="1677670" cy="1845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54142">
            <w:rPr>
              <w:noProof/>
              <w:sz w:val="22"/>
              <w:szCs w:val="24"/>
              <w:lang w:eastAsia="es-ES"/>
            </w:rPr>
            <w:br w:type="page"/>
          </w:r>
        </w:p>
      </w:sdtContent>
    </w:sdt>
    <w:sdt>
      <w:sdtPr>
        <w:rPr>
          <w:rFonts w:cs="Times New Roman"/>
          <w:b/>
          <w:bCs/>
          <w:caps w:val="0"/>
          <w:color w:val="auto"/>
          <w:spacing w:val="0"/>
          <w:sz w:val="20"/>
          <w:szCs w:val="24"/>
          <w:lang w:val="es-ES" w:eastAsia="es-ES"/>
        </w:rPr>
        <w:id w:val="-1412613934"/>
        <w:docPartObj>
          <w:docPartGallery w:val="Table of Contents"/>
          <w:docPartUnique/>
        </w:docPartObj>
      </w:sdtPr>
      <w:sdtEndPr>
        <w:rPr>
          <w:b w:val="0"/>
          <w:bCs w:val="0"/>
          <w:color w:val="FF0000"/>
          <w:szCs w:val="20"/>
          <w:lang w:eastAsia="en-US"/>
        </w:rPr>
      </w:sdtEndPr>
      <w:sdtContent>
        <w:p w14:paraId="14EA01E7" w14:textId="6B70FE32" w:rsidR="0032588B" w:rsidRPr="00954142" w:rsidRDefault="0032588B" w:rsidP="000D58D6">
          <w:pPr>
            <w:pStyle w:val="TtuloTDC"/>
            <w:jc w:val="center"/>
            <w:rPr>
              <w:rFonts w:cs="Times New Roman"/>
              <w:szCs w:val="24"/>
              <w:lang w:val="es-ES"/>
            </w:rPr>
          </w:pPr>
          <w:r w:rsidRPr="00954142">
            <w:rPr>
              <w:rFonts w:cs="Times New Roman"/>
              <w:szCs w:val="24"/>
              <w:lang w:val="es-ES"/>
            </w:rPr>
            <w:t>Contenido</w:t>
          </w:r>
        </w:p>
        <w:p w14:paraId="5E94B16E" w14:textId="395E4A98" w:rsidR="000176CE" w:rsidRDefault="0032588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s-GT"/>
              <w14:ligatures w14:val="standardContextual"/>
            </w:rPr>
          </w:pPr>
          <w:r w:rsidRPr="00954142">
            <w:rPr>
              <w:color w:val="FF0000"/>
              <w:lang w:val="es-ES_tradnl"/>
            </w:rPr>
            <w:fldChar w:fldCharType="begin"/>
          </w:r>
          <w:r w:rsidRPr="00954142">
            <w:rPr>
              <w:color w:val="FF0000"/>
            </w:rPr>
            <w:instrText xml:space="preserve"> TOC \o "1-3" \h \z \u </w:instrText>
          </w:r>
          <w:r w:rsidRPr="00954142">
            <w:rPr>
              <w:color w:val="FF0000"/>
              <w:lang w:val="es-ES_tradnl"/>
            </w:rPr>
            <w:fldChar w:fldCharType="separate"/>
          </w:r>
          <w:hyperlink w:anchor="_Toc143170048" w:history="1">
            <w:r w:rsidR="000176CE" w:rsidRPr="00566077">
              <w:rPr>
                <w:rStyle w:val="Hipervnculo"/>
                <w:lang w:val="es-ES_tradnl" w:eastAsia="es-ES"/>
              </w:rPr>
              <w:t>Introducción</w:t>
            </w:r>
            <w:r w:rsidR="000176CE">
              <w:rPr>
                <w:webHidden/>
              </w:rPr>
              <w:tab/>
            </w:r>
            <w:r w:rsidR="000176CE">
              <w:rPr>
                <w:webHidden/>
              </w:rPr>
              <w:fldChar w:fldCharType="begin"/>
            </w:r>
            <w:r w:rsidR="000176CE">
              <w:rPr>
                <w:webHidden/>
              </w:rPr>
              <w:instrText xml:space="preserve"> PAGEREF _Toc143170048 \h </w:instrText>
            </w:r>
            <w:r w:rsidR="000176CE">
              <w:rPr>
                <w:webHidden/>
              </w:rPr>
            </w:r>
            <w:r w:rsidR="000176CE">
              <w:rPr>
                <w:webHidden/>
              </w:rPr>
              <w:fldChar w:fldCharType="separate"/>
            </w:r>
            <w:r w:rsidR="00B955D9">
              <w:rPr>
                <w:webHidden/>
              </w:rPr>
              <w:t>2</w:t>
            </w:r>
            <w:r w:rsidR="000176CE">
              <w:rPr>
                <w:webHidden/>
              </w:rPr>
              <w:fldChar w:fldCharType="end"/>
            </w:r>
          </w:hyperlink>
        </w:p>
        <w:p w14:paraId="0967C44C" w14:textId="645D9C7C" w:rsidR="000176CE" w:rsidRDefault="000176C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s-GT"/>
              <w14:ligatures w14:val="standardContextual"/>
            </w:rPr>
          </w:pPr>
          <w:hyperlink w:anchor="_Toc143170049" w:history="1">
            <w:r w:rsidRPr="00566077">
              <w:rPr>
                <w:rStyle w:val="Hipervnculo"/>
                <w:lang w:val="es-ES_tradnl" w:eastAsia="es-ES"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4"/>
                <w:lang w:eastAsia="es-GT"/>
                <w14:ligatures w14:val="standardContextual"/>
              </w:rPr>
              <w:tab/>
            </w:r>
            <w:r w:rsidRPr="00566077">
              <w:rPr>
                <w:rStyle w:val="Hipervnculo"/>
                <w:lang w:val="es-ES_tradnl" w:eastAsia="es-ES"/>
              </w:rPr>
              <w:t>Ingresos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_Toc143170049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55D9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6CE24A55" w14:textId="728A0F3B" w:rsidR="000176CE" w:rsidRDefault="000176CE">
          <w:pPr>
            <w:pStyle w:val="TDC2"/>
            <w:rPr>
              <w:rFonts w:asciiTheme="minorHAnsi" w:hAnsiTheme="minorHAnsi"/>
              <w:noProof/>
              <w:kern w:val="2"/>
              <w:sz w:val="24"/>
              <w:szCs w:val="24"/>
              <w:lang w:eastAsia="es-GT"/>
              <w14:ligatures w14:val="standardContextual"/>
            </w:rPr>
          </w:pPr>
          <w:hyperlink w:anchor="_Toc143170050" w:history="1">
            <w:r w:rsidRPr="00566077">
              <w:rPr>
                <w:rStyle w:val="Hipervnculo"/>
                <w:rFonts w:cs="Times New Roman"/>
                <w:noProof/>
              </w:rPr>
              <w:t>1.1</w:t>
            </w:r>
            <w:r>
              <w:rPr>
                <w:rFonts w:asciiTheme="minorHAnsi" w:hAnsiTheme="minorHAnsi"/>
                <w:noProof/>
                <w:kern w:val="2"/>
                <w:sz w:val="24"/>
                <w:szCs w:val="24"/>
                <w:lang w:eastAsia="es-GT"/>
                <w14:ligatures w14:val="standardContextual"/>
              </w:rPr>
              <w:tab/>
            </w:r>
            <w:r w:rsidRPr="00566077">
              <w:rPr>
                <w:rStyle w:val="Hipervnculo"/>
                <w:rFonts w:cs="Times New Roman"/>
                <w:noProof/>
              </w:rPr>
              <w:t>Los ingresos se descaceleran en el segundo trimestre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_Toc143170050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5D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A9DF5" w14:textId="3AE4B311" w:rsidR="000176CE" w:rsidRDefault="000176CE">
          <w:pPr>
            <w:pStyle w:val="TDC2"/>
            <w:rPr>
              <w:rFonts w:asciiTheme="minorHAnsi" w:hAnsiTheme="minorHAnsi"/>
              <w:noProof/>
              <w:kern w:val="2"/>
              <w:sz w:val="24"/>
              <w:szCs w:val="24"/>
              <w:lang w:eastAsia="es-GT"/>
              <w14:ligatures w14:val="standardContextual"/>
            </w:rPr>
          </w:pPr>
          <w:hyperlink w:anchor="_Toc143170051" w:history="1">
            <w:r w:rsidRPr="00566077">
              <w:rPr>
                <w:rStyle w:val="Hipervnculo"/>
                <w:rFonts w:cs="Times New Roman"/>
                <w:noProof/>
              </w:rPr>
              <w:t>1.2</w:t>
            </w:r>
            <w:r>
              <w:rPr>
                <w:rFonts w:asciiTheme="minorHAnsi" w:hAnsiTheme="minorHAnsi"/>
                <w:noProof/>
                <w:kern w:val="2"/>
                <w:sz w:val="24"/>
                <w:szCs w:val="24"/>
                <w:lang w:eastAsia="es-GT"/>
                <w14:ligatures w14:val="standardContextual"/>
              </w:rPr>
              <w:tab/>
            </w:r>
            <w:r w:rsidRPr="00566077">
              <w:rPr>
                <w:rStyle w:val="Hipervnculo"/>
                <w:rFonts w:cs="Times New Roman"/>
                <w:noProof/>
              </w:rPr>
              <w:t>La recaudación crece con menor ritmo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_Toc143170051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5D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A9C3F" w14:textId="5CB49649" w:rsidR="000176CE" w:rsidRDefault="000176CE">
          <w:pPr>
            <w:pStyle w:val="TDC2"/>
            <w:rPr>
              <w:rFonts w:asciiTheme="minorHAnsi" w:hAnsiTheme="minorHAnsi"/>
              <w:noProof/>
              <w:kern w:val="2"/>
              <w:sz w:val="24"/>
              <w:szCs w:val="24"/>
              <w:lang w:eastAsia="es-GT"/>
              <w14:ligatures w14:val="standardContextual"/>
            </w:rPr>
          </w:pPr>
          <w:hyperlink w:anchor="_Toc143170052" w:history="1">
            <w:r w:rsidRPr="00566077">
              <w:rPr>
                <w:rStyle w:val="Hipervnculo"/>
                <w:rFonts w:cs="Times New Roman"/>
                <w:noProof/>
              </w:rPr>
              <w:t>1.3</w:t>
            </w:r>
            <w:r>
              <w:rPr>
                <w:rFonts w:asciiTheme="minorHAnsi" w:hAnsiTheme="minorHAnsi"/>
                <w:noProof/>
                <w:kern w:val="2"/>
                <w:sz w:val="24"/>
                <w:szCs w:val="24"/>
                <w:lang w:eastAsia="es-GT"/>
                <w14:ligatures w14:val="standardContextual"/>
              </w:rPr>
              <w:tab/>
            </w:r>
            <w:r w:rsidRPr="00566077">
              <w:rPr>
                <w:rStyle w:val="Hipervnculo"/>
                <w:rFonts w:cs="Times New Roman"/>
                <w:noProof/>
              </w:rPr>
              <w:t>Las contribuciones sociales con alto dinamísmo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_Toc143170052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5D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68C101" w14:textId="041CE240" w:rsidR="000176CE" w:rsidRDefault="000176C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s-GT"/>
              <w14:ligatures w14:val="standardContextual"/>
            </w:rPr>
          </w:pPr>
          <w:hyperlink w:anchor="_Toc143170056" w:history="1">
            <w:r w:rsidRPr="00566077">
              <w:rPr>
                <w:rStyle w:val="Hipervnculo"/>
                <w:lang w:val="es-ES_tradnl" w:eastAsia="es-ES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4"/>
                <w:lang w:eastAsia="es-GT"/>
                <w14:ligatures w14:val="standardContextual"/>
              </w:rPr>
              <w:tab/>
            </w:r>
            <w:r w:rsidRPr="00566077">
              <w:rPr>
                <w:rStyle w:val="Hipervnculo"/>
                <w:lang w:val="es-ES_tradnl" w:eastAsia="es-ES"/>
              </w:rPr>
              <w:t>Gasto Público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_Toc143170056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55D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CC10BF8" w14:textId="6B1018E6" w:rsidR="000176CE" w:rsidRDefault="000176CE">
          <w:pPr>
            <w:pStyle w:val="TDC2"/>
            <w:rPr>
              <w:rFonts w:asciiTheme="minorHAnsi" w:hAnsiTheme="minorHAnsi"/>
              <w:noProof/>
              <w:kern w:val="2"/>
              <w:sz w:val="24"/>
              <w:szCs w:val="24"/>
              <w:lang w:eastAsia="es-GT"/>
              <w14:ligatures w14:val="standardContextual"/>
            </w:rPr>
          </w:pPr>
          <w:hyperlink w:anchor="_Toc143170060" w:history="1">
            <w:r w:rsidRPr="00566077">
              <w:rPr>
                <w:rStyle w:val="Hipervnculo"/>
                <w:rFonts w:cs="Times New Roman"/>
                <w:noProof/>
              </w:rPr>
              <w:t>2.1</w:t>
            </w:r>
            <w:r>
              <w:rPr>
                <w:rFonts w:asciiTheme="minorHAnsi" w:hAnsiTheme="minorHAnsi"/>
                <w:noProof/>
                <w:kern w:val="2"/>
                <w:sz w:val="24"/>
                <w:szCs w:val="24"/>
                <w:lang w:eastAsia="es-GT"/>
                <w14:ligatures w14:val="standardContextual"/>
              </w:rPr>
              <w:tab/>
            </w:r>
            <w:r w:rsidRPr="00566077">
              <w:rPr>
                <w:rStyle w:val="Hipervnculo"/>
                <w:rFonts w:cs="Times New Roman"/>
                <w:noProof/>
              </w:rPr>
              <w:t>El Gasto se desacelera en el segundo trimestre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_Toc143170060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5D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F5034F" w14:textId="5C7EE47C" w:rsidR="000176CE" w:rsidRDefault="000176C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s-GT"/>
              <w14:ligatures w14:val="standardContextual"/>
            </w:rPr>
          </w:pPr>
          <w:hyperlink w:anchor="_Toc143170061" w:history="1">
            <w:r w:rsidRPr="00566077">
              <w:rPr>
                <w:rStyle w:val="Hipervnculo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4"/>
                <w:lang w:eastAsia="es-GT"/>
                <w14:ligatures w14:val="standardContextual"/>
              </w:rPr>
              <w:tab/>
            </w:r>
            <w:r w:rsidRPr="00566077">
              <w:rPr>
                <w:rStyle w:val="Hipervnculo"/>
                <w:lang w:val="es-MX"/>
              </w:rPr>
              <w:t>Transacciones en Activos No Financieros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_Toc143170061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55D9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68CBBD9" w14:textId="0E4C7D51" w:rsidR="000176CE" w:rsidRDefault="000176CE">
          <w:pPr>
            <w:pStyle w:val="TDC2"/>
            <w:rPr>
              <w:rFonts w:asciiTheme="minorHAnsi" w:hAnsiTheme="minorHAnsi"/>
              <w:noProof/>
              <w:kern w:val="2"/>
              <w:sz w:val="24"/>
              <w:szCs w:val="24"/>
              <w:lang w:eastAsia="es-GT"/>
              <w14:ligatures w14:val="standardContextual"/>
            </w:rPr>
          </w:pPr>
          <w:hyperlink w:anchor="_Toc143170062" w:history="1">
            <w:r w:rsidRPr="00566077">
              <w:rPr>
                <w:rStyle w:val="Hipervnculo"/>
                <w:rFonts w:cs="Times New Roman"/>
                <w:b/>
                <w:noProof/>
              </w:rPr>
              <w:t>3.1</w:t>
            </w:r>
            <w:r>
              <w:rPr>
                <w:rFonts w:asciiTheme="minorHAnsi" w:hAnsiTheme="minorHAnsi"/>
                <w:noProof/>
                <w:kern w:val="2"/>
                <w:sz w:val="24"/>
                <w:szCs w:val="24"/>
                <w:lang w:eastAsia="es-GT"/>
                <w14:ligatures w14:val="standardContextual"/>
              </w:rPr>
              <w:tab/>
            </w:r>
            <w:r w:rsidRPr="00566077">
              <w:rPr>
                <w:rStyle w:val="Hipervnculo"/>
                <w:rFonts w:cs="Times New Roman"/>
                <w:noProof/>
              </w:rPr>
              <w:t>Repunte de la inversión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_Toc143170062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5D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0F5EFB" w14:textId="170001B9" w:rsidR="000176CE" w:rsidRDefault="000176C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s-GT"/>
              <w14:ligatures w14:val="standardContextual"/>
            </w:rPr>
          </w:pPr>
          <w:hyperlink w:anchor="_Toc143170063" w:history="1">
            <w:r w:rsidRPr="00566077">
              <w:rPr>
                <w:rStyle w:val="Hipervnculo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4"/>
                <w:lang w:eastAsia="es-GT"/>
                <w14:ligatures w14:val="standardContextual"/>
              </w:rPr>
              <w:tab/>
            </w:r>
            <w:r w:rsidRPr="00566077">
              <w:rPr>
                <w:rStyle w:val="Hipervnculo"/>
                <w:lang w:val="es-MX"/>
              </w:rPr>
              <w:t>Financiamiento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_Toc143170063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55D9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8BB9349" w14:textId="4ACF4B63" w:rsidR="000176CE" w:rsidRDefault="000176CE">
          <w:pPr>
            <w:pStyle w:val="TDC2"/>
            <w:rPr>
              <w:rFonts w:asciiTheme="minorHAnsi" w:hAnsiTheme="minorHAnsi"/>
              <w:noProof/>
              <w:kern w:val="2"/>
              <w:sz w:val="24"/>
              <w:szCs w:val="24"/>
              <w:lang w:eastAsia="es-GT"/>
              <w14:ligatures w14:val="standardContextual"/>
            </w:rPr>
          </w:pPr>
          <w:hyperlink w:anchor="_Toc143170064" w:history="1">
            <w:r w:rsidRPr="00566077">
              <w:rPr>
                <w:rStyle w:val="Hipervnculo"/>
                <w:rFonts w:cs="Times New Roman"/>
                <w:b/>
                <w:noProof/>
              </w:rPr>
              <w:t>4.1</w:t>
            </w:r>
            <w:r>
              <w:rPr>
                <w:rFonts w:asciiTheme="minorHAnsi" w:hAnsiTheme="minorHAnsi"/>
                <w:noProof/>
                <w:kern w:val="2"/>
                <w:sz w:val="24"/>
                <w:szCs w:val="24"/>
                <w:lang w:eastAsia="es-GT"/>
                <w14:ligatures w14:val="standardContextual"/>
              </w:rPr>
              <w:tab/>
            </w:r>
            <w:r w:rsidRPr="00566077">
              <w:rPr>
                <w:rStyle w:val="Hipervnculo"/>
                <w:rFonts w:cs="Times New Roman"/>
                <w:noProof/>
              </w:rPr>
              <w:t>Incremento de activos financieros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_Toc143170064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5D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E11AA" w14:textId="4E7D0DAD" w:rsidR="000176CE" w:rsidRDefault="000176CE">
          <w:pPr>
            <w:pStyle w:val="TDC2"/>
            <w:rPr>
              <w:rFonts w:asciiTheme="minorHAnsi" w:hAnsiTheme="minorHAnsi"/>
              <w:noProof/>
              <w:kern w:val="2"/>
              <w:sz w:val="24"/>
              <w:szCs w:val="24"/>
              <w:lang w:eastAsia="es-GT"/>
              <w14:ligatures w14:val="standardContextual"/>
            </w:rPr>
          </w:pPr>
          <w:hyperlink w:anchor="_Toc143170065" w:history="1">
            <w:r w:rsidRPr="00566077">
              <w:rPr>
                <w:rStyle w:val="Hipervnculo"/>
                <w:rFonts w:cs="Times New Roman"/>
                <w:b/>
                <w:noProof/>
              </w:rPr>
              <w:t>4.2</w:t>
            </w:r>
            <w:r>
              <w:rPr>
                <w:rFonts w:asciiTheme="minorHAnsi" w:hAnsiTheme="minorHAnsi"/>
                <w:noProof/>
                <w:kern w:val="2"/>
                <w:sz w:val="24"/>
                <w:szCs w:val="24"/>
                <w:lang w:eastAsia="es-GT"/>
                <w14:ligatures w14:val="standardContextual"/>
              </w:rPr>
              <w:tab/>
            </w:r>
            <w:r w:rsidRPr="00566077">
              <w:rPr>
                <w:rStyle w:val="Hipervnculo"/>
                <w:rFonts w:cs="Times New Roman"/>
                <w:noProof/>
              </w:rPr>
              <w:t>Incremento en los pasivos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_Toc143170065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5D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C87ECD" w14:textId="617FFC8E" w:rsidR="000176CE" w:rsidRDefault="000176C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s-GT"/>
              <w14:ligatures w14:val="standardContextual"/>
            </w:rPr>
          </w:pPr>
          <w:hyperlink w:anchor="_Toc143170066" w:history="1">
            <w:r w:rsidRPr="00566077">
              <w:rPr>
                <w:rStyle w:val="Hipervnculo"/>
                <w:lang w:eastAsia="es-ES"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4"/>
                <w:lang w:eastAsia="es-GT"/>
                <w14:ligatures w14:val="standardContextual"/>
              </w:rPr>
              <w:tab/>
            </w:r>
            <w:r w:rsidRPr="00566077">
              <w:rPr>
                <w:rStyle w:val="Hipervnculo"/>
                <w:lang w:val="es-MX"/>
              </w:rPr>
              <w:t>Erogaciones</w:t>
            </w:r>
            <w:r w:rsidRPr="00566077">
              <w:rPr>
                <w:rStyle w:val="Hipervnculo"/>
                <w:lang w:val="es-ES_tradnl" w:eastAsia="es-ES"/>
              </w:rPr>
              <w:t xml:space="preserve"> por funciones de gobierno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_Toc143170066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55D9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BB5425C" w14:textId="15FD7FC1" w:rsidR="000176CE" w:rsidRDefault="000176CE">
          <w:pPr>
            <w:pStyle w:val="TDC2"/>
            <w:rPr>
              <w:rFonts w:asciiTheme="minorHAnsi" w:hAnsiTheme="minorHAnsi"/>
              <w:noProof/>
              <w:kern w:val="2"/>
              <w:sz w:val="24"/>
              <w:szCs w:val="24"/>
              <w:lang w:eastAsia="es-GT"/>
              <w14:ligatures w14:val="standardContextual"/>
            </w:rPr>
          </w:pPr>
          <w:hyperlink w:anchor="_Toc143170071" w:history="1">
            <w:r w:rsidRPr="00566077">
              <w:rPr>
                <w:rStyle w:val="Hipervnculo"/>
                <w:rFonts w:cs="Times New Roman"/>
                <w:b/>
                <w:noProof/>
              </w:rPr>
              <w:t>5.1</w:t>
            </w:r>
            <w:r>
              <w:rPr>
                <w:rFonts w:asciiTheme="minorHAnsi" w:hAnsiTheme="minorHAnsi"/>
                <w:noProof/>
                <w:kern w:val="2"/>
                <w:sz w:val="24"/>
                <w:szCs w:val="24"/>
                <w:lang w:eastAsia="es-GT"/>
                <w14:ligatures w14:val="standardContextual"/>
              </w:rPr>
              <w:tab/>
            </w:r>
            <w:r w:rsidRPr="00566077">
              <w:rPr>
                <w:rStyle w:val="Hipervnculo"/>
                <w:rFonts w:cs="Times New Roman"/>
                <w:noProof/>
              </w:rPr>
              <w:t>Las erogaciones más dinámicas han sido en protección social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_Toc143170071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5D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F8CA1" w14:textId="55DE078A" w:rsidR="000176CE" w:rsidRDefault="000176C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es-GT"/>
              <w14:ligatures w14:val="standardContextual"/>
            </w:rPr>
          </w:pPr>
          <w:hyperlink w:anchor="_Toc143170072" w:history="1">
            <w:r w:rsidRPr="00566077">
              <w:rPr>
                <w:rStyle w:val="Hipervnculo"/>
                <w:lang w:eastAsia="es-ES"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4"/>
                <w:lang w:eastAsia="es-GT"/>
                <w14:ligatures w14:val="standardContextual"/>
              </w:rPr>
              <w:tab/>
            </w:r>
            <w:r w:rsidRPr="00566077">
              <w:rPr>
                <w:rStyle w:val="Hipervnculo"/>
                <w:lang w:val="es-MX"/>
              </w:rPr>
              <w:t>Resultados</w:t>
            </w:r>
            <w:r w:rsidRPr="00566077">
              <w:rPr>
                <w:rStyle w:val="Hipervnculo"/>
                <w:lang w:val="es-ES_tradnl" w:eastAsia="es-ES"/>
              </w:rPr>
              <w:t xml:space="preserve"> Fiscales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_Toc143170072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55D9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682C1B9" w14:textId="016F9A8B" w:rsidR="000176CE" w:rsidRDefault="000176CE">
          <w:pPr>
            <w:pStyle w:val="TDC2"/>
            <w:rPr>
              <w:rFonts w:asciiTheme="minorHAnsi" w:hAnsiTheme="minorHAnsi"/>
              <w:noProof/>
              <w:kern w:val="2"/>
              <w:sz w:val="24"/>
              <w:szCs w:val="24"/>
              <w:lang w:eastAsia="es-GT"/>
              <w14:ligatures w14:val="standardContextual"/>
            </w:rPr>
          </w:pPr>
          <w:hyperlink w:anchor="_Toc143170073" w:history="1">
            <w:r w:rsidRPr="00566077">
              <w:rPr>
                <w:rStyle w:val="Hipervnculo"/>
                <w:rFonts w:cs="Times New Roman"/>
                <w:b/>
                <w:noProof/>
              </w:rPr>
              <w:t>6.1</w:t>
            </w:r>
            <w:r>
              <w:rPr>
                <w:rFonts w:asciiTheme="minorHAnsi" w:hAnsiTheme="minorHAnsi"/>
                <w:noProof/>
                <w:kern w:val="2"/>
                <w:sz w:val="24"/>
                <w:szCs w:val="24"/>
                <w:lang w:eastAsia="es-GT"/>
                <w14:ligatures w14:val="standardContextual"/>
              </w:rPr>
              <w:tab/>
            </w:r>
            <w:r w:rsidRPr="00566077">
              <w:rPr>
                <w:rStyle w:val="Hipervnculo"/>
                <w:rFonts w:cs="Times New Roman"/>
                <w:noProof/>
              </w:rPr>
              <w:t>Resultado Operativo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_Toc143170073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5D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4EA9C0" w14:textId="5DE9BE0A" w:rsidR="000176CE" w:rsidRDefault="000176CE">
          <w:pPr>
            <w:pStyle w:val="TDC2"/>
            <w:rPr>
              <w:rFonts w:asciiTheme="minorHAnsi" w:hAnsiTheme="minorHAnsi"/>
              <w:noProof/>
              <w:kern w:val="2"/>
              <w:sz w:val="24"/>
              <w:szCs w:val="24"/>
              <w:lang w:eastAsia="es-GT"/>
              <w14:ligatures w14:val="standardContextual"/>
            </w:rPr>
          </w:pPr>
          <w:hyperlink w:anchor="_Toc143170074" w:history="1">
            <w:r w:rsidRPr="00566077">
              <w:rPr>
                <w:rStyle w:val="Hipervnculo"/>
                <w:rFonts w:cs="Times New Roman"/>
                <w:b/>
                <w:noProof/>
              </w:rPr>
              <w:t>6.2</w:t>
            </w:r>
            <w:r>
              <w:rPr>
                <w:rFonts w:asciiTheme="minorHAnsi" w:hAnsiTheme="minorHAnsi"/>
                <w:noProof/>
                <w:kern w:val="2"/>
                <w:sz w:val="24"/>
                <w:szCs w:val="24"/>
                <w:lang w:eastAsia="es-GT"/>
                <w14:ligatures w14:val="standardContextual"/>
              </w:rPr>
              <w:tab/>
            </w:r>
            <w:r w:rsidRPr="00566077">
              <w:rPr>
                <w:rStyle w:val="Hipervnculo"/>
                <w:rFonts w:cs="Times New Roman"/>
                <w:noProof/>
              </w:rPr>
              <w:t>Endeudamiento Neto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_Toc143170074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5D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E2AAB0" w14:textId="71D318E4" w:rsidR="0032588B" w:rsidRPr="00954142" w:rsidRDefault="0032588B" w:rsidP="00CD34D6">
          <w:pPr>
            <w:spacing w:line="276" w:lineRule="auto"/>
            <w:rPr>
              <w:rFonts w:cs="Times New Roman"/>
              <w:color w:val="FF0000"/>
            </w:rPr>
          </w:pPr>
          <w:r w:rsidRPr="00954142">
            <w:rPr>
              <w:rFonts w:cs="Times New Roman"/>
              <w:bCs/>
              <w:color w:val="FF0000"/>
              <w:lang w:val="es-ES"/>
            </w:rPr>
            <w:fldChar w:fldCharType="end"/>
          </w:r>
        </w:p>
      </w:sdtContent>
    </w:sdt>
    <w:p w14:paraId="21BB0213" w14:textId="77777777" w:rsidR="006B58E6" w:rsidRPr="00954142" w:rsidRDefault="006B58E6" w:rsidP="006B58E6">
      <w:pPr>
        <w:tabs>
          <w:tab w:val="left" w:pos="5490"/>
        </w:tabs>
        <w:spacing w:after="200" w:line="276" w:lineRule="auto"/>
        <w:rPr>
          <w:rFonts w:eastAsiaTheme="majorEastAsia" w:cs="Times New Roman"/>
          <w:b/>
          <w:bCs/>
          <w:szCs w:val="26"/>
        </w:rPr>
      </w:pPr>
      <w:bookmarkStart w:id="3" w:name="_Toc33180541"/>
      <w:r w:rsidRPr="00954142">
        <w:rPr>
          <w:rFonts w:eastAsiaTheme="majorEastAsia" w:cs="Times New Roman"/>
          <w:b/>
          <w:bCs/>
          <w:szCs w:val="26"/>
        </w:rPr>
        <w:tab/>
      </w:r>
    </w:p>
    <w:p w14:paraId="1E4B481B" w14:textId="5CF023FB" w:rsidR="0041288C" w:rsidRPr="00954142" w:rsidRDefault="0041288C" w:rsidP="006B58E6">
      <w:pPr>
        <w:tabs>
          <w:tab w:val="left" w:pos="5490"/>
        </w:tabs>
        <w:spacing w:after="200" w:line="276" w:lineRule="auto"/>
        <w:rPr>
          <w:rFonts w:eastAsiaTheme="majorEastAsia" w:cs="Times New Roman"/>
          <w:b/>
          <w:bCs/>
          <w:szCs w:val="26"/>
        </w:rPr>
      </w:pPr>
      <w:r w:rsidRPr="00954142">
        <w:rPr>
          <w:rFonts w:eastAsiaTheme="majorEastAsia" w:cs="Times New Roman"/>
          <w:szCs w:val="26"/>
        </w:rPr>
        <w:br w:type="page"/>
      </w:r>
    </w:p>
    <w:p w14:paraId="4919E5EF" w14:textId="77777777" w:rsidR="0041288C" w:rsidRPr="00954142" w:rsidRDefault="0041288C" w:rsidP="00707EF0">
      <w:pPr>
        <w:pStyle w:val="Ttulo1"/>
        <w:rPr>
          <w:lang w:val="es-ES_tradnl" w:eastAsia="es-ES"/>
        </w:rPr>
      </w:pPr>
      <w:bookmarkStart w:id="4" w:name="_Toc143170048"/>
      <w:r w:rsidRPr="00954142">
        <w:rPr>
          <w:lang w:val="es-ES_tradnl" w:eastAsia="es-ES"/>
        </w:rPr>
        <w:lastRenderedPageBreak/>
        <w:t>Introducción</w:t>
      </w:r>
      <w:bookmarkEnd w:id="3"/>
      <w:bookmarkEnd w:id="4"/>
    </w:p>
    <w:p w14:paraId="166F9829" w14:textId="7977E4BF" w:rsidR="00974B8B" w:rsidRPr="00954142" w:rsidRDefault="0041288C" w:rsidP="00B67B8F">
      <w:pPr>
        <w:rPr>
          <w:lang w:val="es-MX"/>
        </w:rPr>
      </w:pPr>
      <w:r w:rsidRPr="00954142">
        <w:rPr>
          <w:lang w:val="es-MX"/>
        </w:rPr>
        <w:t xml:space="preserve">A </w:t>
      </w:r>
      <w:r w:rsidR="00A36EE6" w:rsidRPr="00954142">
        <w:rPr>
          <w:lang w:val="es-MX"/>
        </w:rPr>
        <w:t>continuación,</w:t>
      </w:r>
      <w:r w:rsidR="00752201">
        <w:rPr>
          <w:lang w:val="es-MX"/>
        </w:rPr>
        <w:t xml:space="preserve"> </w:t>
      </w:r>
      <w:r w:rsidRPr="00954142">
        <w:rPr>
          <w:lang w:val="es-MX"/>
        </w:rPr>
        <w:t xml:space="preserve">se presenta </w:t>
      </w:r>
      <w:r w:rsidRPr="00954142">
        <w:rPr>
          <w:b/>
          <w:bCs/>
          <w:lang w:val="es-MX"/>
        </w:rPr>
        <w:t>el Informe</w:t>
      </w:r>
      <w:r w:rsidR="008864EA">
        <w:rPr>
          <w:b/>
          <w:bCs/>
          <w:lang w:val="es-MX"/>
        </w:rPr>
        <w:t xml:space="preserve"> </w:t>
      </w:r>
      <w:r w:rsidR="00A9136E">
        <w:rPr>
          <w:b/>
          <w:bCs/>
          <w:lang w:val="es-MX"/>
        </w:rPr>
        <w:t>al</w:t>
      </w:r>
      <w:r w:rsidR="008864EA">
        <w:rPr>
          <w:b/>
          <w:bCs/>
          <w:lang w:val="es-MX"/>
        </w:rPr>
        <w:t xml:space="preserve"> </w:t>
      </w:r>
      <w:r w:rsidR="00A36EE6">
        <w:rPr>
          <w:b/>
          <w:bCs/>
          <w:lang w:val="es-MX"/>
        </w:rPr>
        <w:t>segundo</w:t>
      </w:r>
      <w:r w:rsidR="00445193" w:rsidRPr="00954142">
        <w:rPr>
          <w:b/>
          <w:bCs/>
          <w:lang w:val="es-MX"/>
        </w:rPr>
        <w:t xml:space="preserve"> </w:t>
      </w:r>
      <w:r w:rsidR="008864EA">
        <w:rPr>
          <w:b/>
          <w:bCs/>
          <w:lang w:val="es-MX"/>
        </w:rPr>
        <w:t>trimestr</w:t>
      </w:r>
      <w:r w:rsidR="004B010A">
        <w:rPr>
          <w:b/>
          <w:bCs/>
          <w:lang w:val="es-MX"/>
        </w:rPr>
        <w:t>e</w:t>
      </w:r>
      <w:r w:rsidR="002E2298" w:rsidRPr="00954142">
        <w:rPr>
          <w:b/>
          <w:bCs/>
          <w:lang w:val="es-MX"/>
        </w:rPr>
        <w:t xml:space="preserve"> de 202</w:t>
      </w:r>
      <w:r w:rsidR="008864EA">
        <w:rPr>
          <w:b/>
          <w:bCs/>
          <w:lang w:val="es-MX"/>
        </w:rPr>
        <w:t>3</w:t>
      </w:r>
      <w:r w:rsidR="002E2298" w:rsidRPr="00954142">
        <w:rPr>
          <w:lang w:val="es-MX"/>
        </w:rPr>
        <w:t xml:space="preserve"> </w:t>
      </w:r>
      <w:r w:rsidRPr="00954142">
        <w:rPr>
          <w:lang w:val="es-MX"/>
        </w:rPr>
        <w:t>sobre l</w:t>
      </w:r>
      <w:r w:rsidR="00D63046" w:rsidRPr="00954142">
        <w:rPr>
          <w:lang w:val="es-MX"/>
        </w:rPr>
        <w:t xml:space="preserve">a ejecución financiera del </w:t>
      </w:r>
      <w:r w:rsidR="00AB392D" w:rsidRPr="00954142">
        <w:rPr>
          <w:lang w:val="es-MX"/>
        </w:rPr>
        <w:t>gobierno general</w:t>
      </w:r>
      <w:r w:rsidR="00D63046" w:rsidRPr="00954142">
        <w:rPr>
          <w:lang w:val="es-MX"/>
        </w:rPr>
        <w:t xml:space="preserve"> sobre la </w:t>
      </w:r>
      <w:r w:rsidR="00D63046" w:rsidRPr="006B6272">
        <w:rPr>
          <w:lang w:val="es-MX"/>
        </w:rPr>
        <w:t>base de las</w:t>
      </w:r>
      <w:r w:rsidRPr="006B6272">
        <w:rPr>
          <w:lang w:val="es-MX"/>
        </w:rPr>
        <w:t xml:space="preserve"> Estadísticas de las Finanzas Públicas -EFP- el cual contiene los aspectos más relevantes de la evolución de las variables fiscales</w:t>
      </w:r>
      <w:r w:rsidR="00D63046" w:rsidRPr="006B6272">
        <w:rPr>
          <w:lang w:val="es-MX"/>
        </w:rPr>
        <w:t>, así como las</w:t>
      </w:r>
      <w:r w:rsidR="00AA5C09" w:rsidRPr="006B6272">
        <w:rPr>
          <w:lang w:val="es-MX"/>
        </w:rPr>
        <w:t xml:space="preserve"> </w:t>
      </w:r>
      <w:r w:rsidRPr="006B6272">
        <w:rPr>
          <w:lang w:val="es-MX"/>
        </w:rPr>
        <w:t>principales acciones en materia de ingresos, gasto, transacciones en activos y pasivos y las erogaciones por función del Gobierno</w:t>
      </w:r>
      <w:r w:rsidR="004E3572" w:rsidRPr="006B6272">
        <w:rPr>
          <w:lang w:val="es-MX"/>
        </w:rPr>
        <w:t>.</w:t>
      </w:r>
      <w:r w:rsidR="00B331CD" w:rsidRPr="006B6272">
        <w:rPr>
          <w:lang w:val="es-MX"/>
        </w:rPr>
        <w:t xml:space="preserve"> </w:t>
      </w:r>
      <w:r w:rsidR="00EB420D" w:rsidRPr="006B6272">
        <w:rPr>
          <w:lang w:val="es-MX"/>
        </w:rPr>
        <w:t xml:space="preserve">Esta información se presenta utilizando </w:t>
      </w:r>
      <w:r w:rsidR="001C3561" w:rsidRPr="006B6272">
        <w:rPr>
          <w:lang w:val="es-MX"/>
        </w:rPr>
        <w:t>cifras consolidadas, es decir, se eliminan las operaciones rec</w:t>
      </w:r>
      <w:r w:rsidR="00752201">
        <w:rPr>
          <w:lang w:val="es-MX"/>
        </w:rPr>
        <w:t>í</w:t>
      </w:r>
      <w:r w:rsidR="001C3561" w:rsidRPr="006B6272">
        <w:rPr>
          <w:lang w:val="es-MX"/>
        </w:rPr>
        <w:t xml:space="preserve">procas entre las entidades que conforman al gobierno </w:t>
      </w:r>
      <w:r w:rsidR="00BD0642" w:rsidRPr="006B6272">
        <w:rPr>
          <w:lang w:val="es-MX"/>
        </w:rPr>
        <w:t>g</w:t>
      </w:r>
      <w:r w:rsidR="001C3561" w:rsidRPr="006B6272">
        <w:rPr>
          <w:lang w:val="es-MX"/>
        </w:rPr>
        <w:t>eneral</w:t>
      </w:r>
      <w:r w:rsidR="00BD0642" w:rsidRPr="006B6272">
        <w:rPr>
          <w:lang w:val="es-MX"/>
        </w:rPr>
        <w:t xml:space="preserve"> para presentar los datos como una </w:t>
      </w:r>
      <w:r w:rsidR="00C80B6F" w:rsidRPr="006B6272">
        <w:rPr>
          <w:lang w:val="es-MX"/>
        </w:rPr>
        <w:t>sola unidad económica.</w:t>
      </w:r>
    </w:p>
    <w:p w14:paraId="522D2460" w14:textId="36B78D9B" w:rsidR="0041288C" w:rsidRPr="00954142" w:rsidRDefault="004E3572" w:rsidP="00B67B8F">
      <w:pPr>
        <w:rPr>
          <w:lang w:val="es-MX"/>
        </w:rPr>
      </w:pPr>
      <w:r w:rsidRPr="00954142">
        <w:rPr>
          <w:lang w:val="es-MX"/>
        </w:rPr>
        <w:t xml:space="preserve">Cabe mencionar que dicha información utiliza los </w:t>
      </w:r>
      <w:r w:rsidR="005F2296" w:rsidRPr="00954142">
        <w:rPr>
          <w:lang w:val="es-MX"/>
        </w:rPr>
        <w:t>estándares internacionales establecidos en el Manual de Estadísticas de las Finanzas Públicas 2014 -MEFP-</w:t>
      </w:r>
      <w:r w:rsidR="00974B8B" w:rsidRPr="00954142">
        <w:rPr>
          <w:lang w:val="es-MX"/>
        </w:rPr>
        <w:t xml:space="preserve"> del Fondo Monetario </w:t>
      </w:r>
      <w:r w:rsidR="00F35956" w:rsidRPr="00954142">
        <w:rPr>
          <w:lang w:val="es-MX"/>
        </w:rPr>
        <w:t xml:space="preserve">Internacional </w:t>
      </w:r>
      <w:r w:rsidR="0041288C" w:rsidRPr="00954142">
        <w:rPr>
          <w:lang w:val="es-MX"/>
        </w:rPr>
        <w:t>-FMI- por lo que existen diferencias en comparación</w:t>
      </w:r>
      <w:r w:rsidR="00774760" w:rsidRPr="00954142">
        <w:rPr>
          <w:lang w:val="es-MX"/>
        </w:rPr>
        <w:t xml:space="preserve"> a las cifras que son publicadas </w:t>
      </w:r>
      <w:r w:rsidR="0041288C" w:rsidRPr="00954142">
        <w:rPr>
          <w:lang w:val="es-MX"/>
        </w:rPr>
        <w:t>utiliza</w:t>
      </w:r>
      <w:r w:rsidR="00774760" w:rsidRPr="00954142">
        <w:rPr>
          <w:lang w:val="es-MX"/>
        </w:rPr>
        <w:t>ndo</w:t>
      </w:r>
      <w:r w:rsidR="0041288C" w:rsidRPr="00954142">
        <w:rPr>
          <w:lang w:val="es-MX"/>
        </w:rPr>
        <w:t xml:space="preserve"> la metodología nacional.</w:t>
      </w:r>
      <w:r w:rsidR="00F8714D" w:rsidRPr="00954142">
        <w:rPr>
          <w:lang w:val="es-MX"/>
        </w:rPr>
        <w:t xml:space="preserve"> </w:t>
      </w:r>
      <w:r w:rsidR="003D1490" w:rsidRPr="00954142">
        <w:rPr>
          <w:lang w:val="es-MX"/>
        </w:rPr>
        <w:t xml:space="preserve">En caso de cualquier </w:t>
      </w:r>
      <w:r w:rsidR="00FA4254" w:rsidRPr="00954142">
        <w:rPr>
          <w:lang w:val="es-MX"/>
        </w:rPr>
        <w:t>duda</w:t>
      </w:r>
      <w:r w:rsidR="00E507D9" w:rsidRPr="00954142">
        <w:rPr>
          <w:lang w:val="es-MX"/>
        </w:rPr>
        <w:t xml:space="preserve"> sobre estas diferencias</w:t>
      </w:r>
      <w:r w:rsidR="002710C2" w:rsidRPr="00954142">
        <w:rPr>
          <w:lang w:val="es-MX"/>
        </w:rPr>
        <w:t xml:space="preserve">, </w:t>
      </w:r>
      <w:r w:rsidR="00723705" w:rsidRPr="00954142">
        <w:rPr>
          <w:lang w:val="es-MX"/>
        </w:rPr>
        <w:t xml:space="preserve">se </w:t>
      </w:r>
      <w:r w:rsidR="002710C2" w:rsidRPr="00954142">
        <w:rPr>
          <w:lang w:val="es-MX"/>
        </w:rPr>
        <w:t xml:space="preserve">puede consultar los documentos de </w:t>
      </w:r>
      <w:r w:rsidR="00C139AC" w:rsidRPr="00954142">
        <w:rPr>
          <w:lang w:val="es-MX"/>
        </w:rPr>
        <w:t>“</w:t>
      </w:r>
      <w:r w:rsidR="002710C2" w:rsidRPr="00954142">
        <w:rPr>
          <w:lang w:val="es-MX"/>
        </w:rPr>
        <w:t>Metodología</w:t>
      </w:r>
      <w:r w:rsidR="00C139AC" w:rsidRPr="00954142">
        <w:rPr>
          <w:lang w:val="es-MX"/>
        </w:rPr>
        <w:t>”</w:t>
      </w:r>
      <w:r w:rsidR="002710C2" w:rsidRPr="00954142">
        <w:rPr>
          <w:lang w:val="es-MX"/>
        </w:rPr>
        <w:t xml:space="preserve"> y de </w:t>
      </w:r>
      <w:r w:rsidR="00C139AC" w:rsidRPr="00954142">
        <w:rPr>
          <w:lang w:val="es-MX"/>
        </w:rPr>
        <w:t xml:space="preserve">“Metadatos” </w:t>
      </w:r>
      <w:r w:rsidR="00F42DC5" w:rsidRPr="00954142">
        <w:rPr>
          <w:lang w:val="es-MX"/>
        </w:rPr>
        <w:t xml:space="preserve">que se encuentran publicados en </w:t>
      </w:r>
      <w:r w:rsidR="00C923AF" w:rsidRPr="00954142">
        <w:rPr>
          <w:lang w:val="es-MX"/>
        </w:rPr>
        <w:t xml:space="preserve">la </w:t>
      </w:r>
      <w:r w:rsidR="00DB2A3F" w:rsidRPr="00954142">
        <w:rPr>
          <w:lang w:val="es-MX"/>
        </w:rPr>
        <w:t>página</w:t>
      </w:r>
      <w:r w:rsidR="00F42DC5" w:rsidRPr="00954142">
        <w:rPr>
          <w:lang w:val="es-MX"/>
        </w:rPr>
        <w:t xml:space="preserve"> web</w:t>
      </w:r>
      <w:r w:rsidR="00C923AF" w:rsidRPr="00954142">
        <w:rPr>
          <w:lang w:val="es-MX"/>
        </w:rPr>
        <w:t xml:space="preserve"> del Ministerio de Finanzas Públicas</w:t>
      </w:r>
      <w:r w:rsidR="00723705" w:rsidRPr="00954142">
        <w:rPr>
          <w:lang w:val="es-MX"/>
        </w:rPr>
        <w:t>,</w:t>
      </w:r>
      <w:r w:rsidR="00C923AF" w:rsidRPr="00954142">
        <w:rPr>
          <w:lang w:val="es-MX"/>
        </w:rPr>
        <w:t xml:space="preserve"> en la sección de “Estadísticas según Estándares Internacionales”</w:t>
      </w:r>
      <w:r w:rsidR="00F42DC5" w:rsidRPr="00954142">
        <w:rPr>
          <w:lang w:val="es-MX"/>
        </w:rPr>
        <w:t>.</w:t>
      </w:r>
    </w:p>
    <w:p w14:paraId="2C130F06" w14:textId="77777777" w:rsidR="00F70E18" w:rsidRPr="00954142" w:rsidRDefault="00F70E18" w:rsidP="00B67B8F">
      <w:pPr>
        <w:rPr>
          <w:lang w:val="es-MX"/>
        </w:rPr>
      </w:pPr>
    </w:p>
    <w:p w14:paraId="37573775" w14:textId="2CCE493C" w:rsidR="00E66A98" w:rsidRPr="00954142" w:rsidRDefault="00A52F77" w:rsidP="00F70E18">
      <w:pPr>
        <w:pStyle w:val="Ttulo1"/>
        <w:numPr>
          <w:ilvl w:val="0"/>
          <w:numId w:val="46"/>
        </w:numPr>
        <w:rPr>
          <w:lang w:val="es-ES_tradnl" w:eastAsia="es-ES"/>
        </w:rPr>
      </w:pPr>
      <w:bookmarkStart w:id="5" w:name="_Toc143170049"/>
      <w:bookmarkEnd w:id="1"/>
      <w:bookmarkEnd w:id="2"/>
      <w:r w:rsidRPr="00954142">
        <w:rPr>
          <w:lang w:val="es-ES_tradnl" w:eastAsia="es-ES"/>
        </w:rPr>
        <w:t>Ingresos</w:t>
      </w:r>
      <w:bookmarkEnd w:id="5"/>
      <w:r w:rsidR="00E66A98" w:rsidRPr="00954142">
        <w:rPr>
          <w:lang w:val="es-ES_tradnl" w:eastAsia="es-ES"/>
        </w:rPr>
        <w:t xml:space="preserve"> </w:t>
      </w:r>
    </w:p>
    <w:p w14:paraId="573AD0D9" w14:textId="27DC8E01" w:rsidR="00E66A98" w:rsidRPr="00954142" w:rsidRDefault="00845D81" w:rsidP="00EB6D9F">
      <w:pPr>
        <w:pStyle w:val="Ttulo2"/>
        <w:numPr>
          <w:ilvl w:val="1"/>
          <w:numId w:val="11"/>
        </w:numPr>
        <w:tabs>
          <w:tab w:val="left" w:pos="426"/>
        </w:tabs>
        <w:spacing w:before="0"/>
        <w:ind w:left="284" w:hanging="284"/>
        <w:rPr>
          <w:rFonts w:cs="Times New Roman"/>
          <w:sz w:val="22"/>
          <w:szCs w:val="22"/>
        </w:rPr>
      </w:pPr>
      <w:bookmarkStart w:id="6" w:name="_Toc471986924"/>
      <w:bookmarkStart w:id="7" w:name="_Toc471987059"/>
      <w:bookmarkStart w:id="8" w:name="_Toc471987107"/>
      <w:bookmarkStart w:id="9" w:name="_Toc471987129"/>
      <w:bookmarkStart w:id="10" w:name="_Toc472082158"/>
      <w:bookmarkStart w:id="11" w:name="_Toc472082190"/>
      <w:bookmarkStart w:id="12" w:name="_Toc472089905"/>
      <w:bookmarkStart w:id="13" w:name="_Toc472089928"/>
      <w:bookmarkStart w:id="14" w:name="_Toc505346056"/>
      <w:bookmarkStart w:id="15" w:name="_Toc505349869"/>
      <w:bookmarkStart w:id="16" w:name="_Toc534985827"/>
      <w:bookmarkStart w:id="17" w:name="_Toc534988220"/>
      <w:bookmarkStart w:id="18" w:name="_Toc31611540"/>
      <w:bookmarkStart w:id="19" w:name="_Toc31612756"/>
      <w:bookmarkStart w:id="20" w:name="_Toc31612788"/>
      <w:bookmarkStart w:id="21" w:name="_Toc31614814"/>
      <w:bookmarkStart w:id="22" w:name="_Toc31614846"/>
      <w:bookmarkStart w:id="23" w:name="_Toc31618683"/>
      <w:bookmarkStart w:id="24" w:name="_Toc31618716"/>
      <w:bookmarkStart w:id="25" w:name="_Toc31624492"/>
      <w:bookmarkStart w:id="26" w:name="_Toc31625344"/>
      <w:bookmarkStart w:id="27" w:name="_Toc31626799"/>
      <w:bookmarkStart w:id="28" w:name="_Toc31811250"/>
      <w:bookmarkStart w:id="29" w:name="_Toc31811695"/>
      <w:bookmarkStart w:id="30" w:name="_Toc31971858"/>
      <w:bookmarkStart w:id="31" w:name="_Toc32230880"/>
      <w:bookmarkStart w:id="32" w:name="_Toc33109779"/>
      <w:bookmarkStart w:id="33" w:name="_Toc33109822"/>
      <w:bookmarkStart w:id="34" w:name="_Toc33180543"/>
      <w:bookmarkStart w:id="35" w:name="_Toc33180637"/>
      <w:bookmarkStart w:id="36" w:name="_Toc33193534"/>
      <w:bookmarkStart w:id="37" w:name="_Toc33193573"/>
      <w:bookmarkStart w:id="38" w:name="_Toc33196770"/>
      <w:bookmarkStart w:id="39" w:name="_Toc40691746"/>
      <w:bookmarkStart w:id="40" w:name="_Toc40959149"/>
      <w:bookmarkStart w:id="41" w:name="_Toc40975983"/>
      <w:bookmarkStart w:id="42" w:name="_Toc40976052"/>
      <w:bookmarkStart w:id="43" w:name="_Toc40993307"/>
      <w:bookmarkStart w:id="44" w:name="_Toc40993689"/>
      <w:bookmarkStart w:id="45" w:name="_Toc41037565"/>
      <w:bookmarkStart w:id="46" w:name="_Toc14317005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954142">
        <w:rPr>
          <w:rFonts w:cs="Times New Roman"/>
          <w:sz w:val="22"/>
          <w:szCs w:val="22"/>
        </w:rPr>
        <w:t xml:space="preserve">Los ingresos </w:t>
      </w:r>
      <w:r w:rsidR="00265226">
        <w:rPr>
          <w:rFonts w:cs="Times New Roman"/>
          <w:sz w:val="22"/>
          <w:szCs w:val="22"/>
        </w:rPr>
        <w:t>se descaceleran en el segundo trimestre</w:t>
      </w:r>
      <w:bookmarkEnd w:id="46"/>
    </w:p>
    <w:p w14:paraId="04EA88B5" w14:textId="78BE8427" w:rsidR="002B5E54" w:rsidRPr="00954142" w:rsidRDefault="00265226" w:rsidP="002B5E54">
      <w:r w:rsidRPr="00954142">
        <w:rPr>
          <w:noProof/>
          <w:sz w:val="24"/>
          <w:lang w:eastAsia="es-GT"/>
        </w:rPr>
        <w:drawing>
          <wp:anchor distT="0" distB="0" distL="114300" distR="114300" simplePos="0" relativeHeight="251658248" behindDoc="0" locked="0" layoutInCell="1" allowOverlap="1" wp14:anchorId="0E488811" wp14:editId="0ED5EB93">
            <wp:simplePos x="0" y="0"/>
            <wp:positionH relativeFrom="margin">
              <wp:posOffset>3009900</wp:posOffset>
            </wp:positionH>
            <wp:positionV relativeFrom="paragraph">
              <wp:posOffset>937895</wp:posOffset>
            </wp:positionV>
            <wp:extent cx="2983230" cy="2333625"/>
            <wp:effectExtent l="0" t="0" r="762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893" w:rsidRPr="00954142">
        <w:rPr>
          <w:rFonts w:eastAsiaTheme="majorEastAsia"/>
          <w:noProof/>
          <w:lang w:eastAsia="es-GT"/>
        </w:rPr>
        <w:drawing>
          <wp:anchor distT="0" distB="0" distL="114300" distR="114300" simplePos="0" relativeHeight="251658244" behindDoc="0" locked="0" layoutInCell="1" allowOverlap="1" wp14:anchorId="2394B235" wp14:editId="2121A125">
            <wp:simplePos x="0" y="0"/>
            <wp:positionH relativeFrom="margin">
              <wp:posOffset>3070860</wp:posOffset>
            </wp:positionH>
            <wp:positionV relativeFrom="paragraph">
              <wp:posOffset>125730</wp:posOffset>
            </wp:positionV>
            <wp:extent cx="2924810" cy="741045"/>
            <wp:effectExtent l="57150" t="38100" r="123190" b="97155"/>
            <wp:wrapSquare wrapText="bothSides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173" w:rsidRPr="00954142">
        <w:t>L</w:t>
      </w:r>
      <w:r w:rsidR="002B5E54" w:rsidRPr="00954142">
        <w:t>os ingresos</w:t>
      </w:r>
      <w:r w:rsidR="00242F15">
        <w:t xml:space="preserve"> a nivel del </w:t>
      </w:r>
      <w:r w:rsidR="002B5E54">
        <w:t>g</w:t>
      </w:r>
      <w:r w:rsidR="002B5E54" w:rsidRPr="00954142">
        <w:t xml:space="preserve">obierno </w:t>
      </w:r>
      <w:r w:rsidR="002B5E54">
        <w:t>g</w:t>
      </w:r>
      <w:r w:rsidR="002B5E54" w:rsidRPr="00954142">
        <w:t xml:space="preserve">eneral </w:t>
      </w:r>
      <w:r w:rsidR="002B5E54">
        <w:t>asc</w:t>
      </w:r>
      <w:r w:rsidR="00AA0564">
        <w:t xml:space="preserve">ienden </w:t>
      </w:r>
      <w:r>
        <w:t xml:space="preserve">a </w:t>
      </w:r>
      <w:r w:rsidRPr="00954142">
        <w:t>Q</w:t>
      </w:r>
      <w:r w:rsidR="00AA0564" w:rsidRPr="00AA0564">
        <w:t>63,757.9</w:t>
      </w:r>
      <w:r w:rsidR="002B5E54" w:rsidRPr="00954142">
        <w:t xml:space="preserve"> millones</w:t>
      </w:r>
      <w:r w:rsidR="00AA0564">
        <w:t xml:space="preserve"> al finalizar el segundo trimestre del </w:t>
      </w:r>
      <w:r w:rsidR="001C6055">
        <w:t>2023, mostrando u</w:t>
      </w:r>
      <w:r w:rsidR="00D050DE">
        <w:t xml:space="preserve">n </w:t>
      </w:r>
      <w:r w:rsidR="002B5E54">
        <w:t xml:space="preserve">incremento interanual </w:t>
      </w:r>
      <w:r w:rsidR="002B5E54" w:rsidRPr="00954142">
        <w:t xml:space="preserve">del </w:t>
      </w:r>
      <w:r w:rsidR="002B5E54">
        <w:t>1</w:t>
      </w:r>
      <w:r w:rsidR="001C6055">
        <w:t>0</w:t>
      </w:r>
      <w:r w:rsidR="002B5E54">
        <w:t>.</w:t>
      </w:r>
      <w:r w:rsidR="006C4A97">
        <w:t>2</w:t>
      </w:r>
      <w:r w:rsidR="002B5E54" w:rsidRPr="00954142">
        <w:t>% (Q</w:t>
      </w:r>
      <w:r w:rsidR="007F7A92" w:rsidRPr="007F7A92">
        <w:t>5,915.3</w:t>
      </w:r>
      <w:r w:rsidR="002B5E54" w:rsidRPr="00954142">
        <w:t xml:space="preserve"> millones)</w:t>
      </w:r>
      <w:r w:rsidR="007F7A92">
        <w:t xml:space="preserve"> y cabe mencionar que</w:t>
      </w:r>
      <w:r w:rsidR="00034931">
        <w:t xml:space="preserve"> durante el segundo trimestre</w:t>
      </w:r>
      <w:r w:rsidR="007F7A92">
        <w:t xml:space="preserve"> se observa una desaceleración </w:t>
      </w:r>
      <w:r w:rsidR="00723D55">
        <w:t xml:space="preserve">respecto al </w:t>
      </w:r>
      <w:r w:rsidR="00F02C42">
        <w:t xml:space="preserve">comportamiento que </w:t>
      </w:r>
      <w:r w:rsidR="00181975">
        <w:t>se observó</w:t>
      </w:r>
      <w:r w:rsidR="00723D55">
        <w:t xml:space="preserve"> en el primer trimestre.</w:t>
      </w:r>
    </w:p>
    <w:p w14:paraId="41B3F8A0" w14:textId="0A618159" w:rsidR="00BD1875" w:rsidRPr="00954142" w:rsidRDefault="004350ED" w:rsidP="00BD1875">
      <w:r>
        <w:t xml:space="preserve">Los </w:t>
      </w:r>
      <w:r w:rsidR="00055B22" w:rsidRPr="00954142">
        <w:t>ingresos</w:t>
      </w:r>
      <w:r w:rsidR="00055B22">
        <w:t xml:space="preserve"> más importantes</w:t>
      </w:r>
      <w:r w:rsidR="00651851">
        <w:t xml:space="preserve"> han sido</w:t>
      </w:r>
      <w:r w:rsidR="00BD1875" w:rsidRPr="00954142">
        <w:t xml:space="preserve"> </w:t>
      </w:r>
      <w:r w:rsidR="00651851">
        <w:t xml:space="preserve">los </w:t>
      </w:r>
      <w:r w:rsidR="00BD1875" w:rsidRPr="00954142">
        <w:t xml:space="preserve">impuestos, </w:t>
      </w:r>
      <w:r w:rsidR="00BD1875">
        <w:t xml:space="preserve">que </w:t>
      </w:r>
      <w:r w:rsidR="00651851">
        <w:t xml:space="preserve">representan el </w:t>
      </w:r>
      <w:r w:rsidR="00BD1875" w:rsidRPr="00954142">
        <w:t>7</w:t>
      </w:r>
      <w:r w:rsidR="00A02D79">
        <w:t>5</w:t>
      </w:r>
      <w:r w:rsidR="00BD1875">
        <w:t>.</w:t>
      </w:r>
      <w:r w:rsidR="00A02D79">
        <w:t>3</w:t>
      </w:r>
      <w:r w:rsidR="00BD1875" w:rsidRPr="00954142">
        <w:t xml:space="preserve">% de los ingresos totales, seguido de las contribuciones sociales con el </w:t>
      </w:r>
      <w:r w:rsidR="00A02D79">
        <w:t>17.0</w:t>
      </w:r>
      <w:r w:rsidR="00BD1875" w:rsidRPr="00954142">
        <w:t xml:space="preserve">%, la categoría de otros ingresos fueron el </w:t>
      </w:r>
      <w:r w:rsidR="00A02D79">
        <w:t>7</w:t>
      </w:r>
      <w:r w:rsidR="00BD1875">
        <w:t>.</w:t>
      </w:r>
      <w:r w:rsidR="00C4395B">
        <w:t>6</w:t>
      </w:r>
      <w:r w:rsidR="00BD1875" w:rsidRPr="00954142">
        <w:t>%</w:t>
      </w:r>
      <w:r w:rsidR="00BD1875">
        <w:t xml:space="preserve">, en tanto </w:t>
      </w:r>
      <w:r w:rsidR="00BD1875" w:rsidRPr="00954142">
        <w:t xml:space="preserve">las donaciones recibidas del 0.1%. </w:t>
      </w:r>
    </w:p>
    <w:p w14:paraId="3055D76F" w14:textId="1BCDC202" w:rsidR="00BD1875" w:rsidRPr="00954142" w:rsidRDefault="009B23AE" w:rsidP="00BD1875">
      <w:pPr>
        <w:spacing w:before="0" w:after="0"/>
      </w:pPr>
      <w:r>
        <w:t>En términos de</w:t>
      </w:r>
      <w:r w:rsidR="00BD1875">
        <w:t xml:space="preserve"> crecimiento interanual</w:t>
      </w:r>
      <w:r>
        <w:t>,</w:t>
      </w:r>
      <w:r w:rsidR="00BD1875">
        <w:t xml:space="preserve"> los </w:t>
      </w:r>
      <w:r w:rsidR="00BD1875" w:rsidRPr="00954142">
        <w:t xml:space="preserve">impuestos </w:t>
      </w:r>
      <w:r w:rsidR="00BD1875">
        <w:t xml:space="preserve">reportaron </w:t>
      </w:r>
      <w:r w:rsidR="00BD1875" w:rsidRPr="00954142">
        <w:t xml:space="preserve">una variación del </w:t>
      </w:r>
      <w:r w:rsidR="002E2F72">
        <w:t>9.3</w:t>
      </w:r>
      <w:r w:rsidR="00BD1875" w:rsidRPr="00954142">
        <w:t>% (Q</w:t>
      </w:r>
      <w:r w:rsidR="002E2F72" w:rsidRPr="002E2F72">
        <w:t>4,085.9</w:t>
      </w:r>
      <w:r w:rsidR="00BD1875" w:rsidRPr="00954142">
        <w:t xml:space="preserve"> millones) seguido de las contribuciones sociales con una tasa de</w:t>
      </w:r>
      <w:r w:rsidR="00506DF7">
        <w:t>l</w:t>
      </w:r>
      <w:r w:rsidR="00BD1875" w:rsidRPr="00954142">
        <w:t xml:space="preserve"> </w:t>
      </w:r>
      <w:r w:rsidR="00BD1875">
        <w:t>14</w:t>
      </w:r>
      <w:r w:rsidR="006464BE">
        <w:t>.2</w:t>
      </w:r>
      <w:r w:rsidR="00BD1875" w:rsidRPr="00954142">
        <w:t>% (Q</w:t>
      </w:r>
      <w:r w:rsidR="006464BE" w:rsidRPr="006464BE">
        <w:t>1,346.5</w:t>
      </w:r>
      <w:r w:rsidR="00BD1875" w:rsidRPr="00954142">
        <w:t xml:space="preserve"> millones)</w:t>
      </w:r>
      <w:r w:rsidR="00752201">
        <w:t>.</w:t>
      </w:r>
      <w:r w:rsidR="00BD1875">
        <w:t xml:space="preserve"> </w:t>
      </w:r>
      <w:r w:rsidR="00752201">
        <w:t>L</w:t>
      </w:r>
      <w:r w:rsidR="00BD1875" w:rsidRPr="00954142">
        <w:t xml:space="preserve">a categoría de otros ingresos </w:t>
      </w:r>
      <w:r w:rsidR="00BD1875">
        <w:t>presentó variación interanual de</w:t>
      </w:r>
      <w:r w:rsidR="00506DF7">
        <w:t>l</w:t>
      </w:r>
      <w:r w:rsidR="00BD1875">
        <w:t xml:space="preserve"> 1</w:t>
      </w:r>
      <w:r w:rsidR="006464BE">
        <w:t>1</w:t>
      </w:r>
      <w:r w:rsidR="00872646">
        <w:t>.</w:t>
      </w:r>
      <w:r w:rsidR="006464BE">
        <w:t>8</w:t>
      </w:r>
      <w:r w:rsidR="00BD1875" w:rsidRPr="00954142">
        <w:t>% (Q</w:t>
      </w:r>
      <w:r w:rsidR="005817E1" w:rsidRPr="005817E1">
        <w:t>517.7</w:t>
      </w:r>
      <w:r w:rsidR="00BD1875" w:rsidRPr="00954142">
        <w:t xml:space="preserve"> millones)</w:t>
      </w:r>
      <w:r w:rsidR="00BD1875">
        <w:t>,</w:t>
      </w:r>
      <w:r w:rsidR="00BD1875" w:rsidRPr="00954142">
        <w:t xml:space="preserve"> mientras las donaciones recibidas </w:t>
      </w:r>
      <w:r w:rsidR="00EF7D66">
        <w:t xml:space="preserve">ha sido </w:t>
      </w:r>
      <w:r w:rsidR="00155161">
        <w:t>el único rubro</w:t>
      </w:r>
      <w:r w:rsidR="00EF7D66">
        <w:t xml:space="preserve"> </w:t>
      </w:r>
      <w:r w:rsidR="00265226">
        <w:t>con una</w:t>
      </w:r>
      <w:r w:rsidR="00214F33">
        <w:t xml:space="preserve"> disminución</w:t>
      </w:r>
      <w:r w:rsidR="007C0BEF">
        <w:t xml:space="preserve"> </w:t>
      </w:r>
      <w:r w:rsidR="00BD1875">
        <w:t xml:space="preserve">interanual e </w:t>
      </w:r>
      <w:r w:rsidR="004925DA">
        <w:t>46</w:t>
      </w:r>
      <w:r w:rsidR="00214F33">
        <w:t>.0</w:t>
      </w:r>
      <w:r w:rsidR="00BD1875">
        <w:t xml:space="preserve">% </w:t>
      </w:r>
      <w:r w:rsidR="00BD1875" w:rsidRPr="00954142">
        <w:t>(Q</w:t>
      </w:r>
      <w:r w:rsidR="00214F33">
        <w:t>34.8</w:t>
      </w:r>
      <w:r w:rsidR="00BD1875" w:rsidRPr="00954142">
        <w:t xml:space="preserve"> millones)</w:t>
      </w:r>
      <w:r w:rsidR="00872646">
        <w:t>.</w:t>
      </w:r>
    </w:p>
    <w:p w14:paraId="60BDECA6" w14:textId="5E526FA2" w:rsidR="0004778B" w:rsidRPr="00954142" w:rsidRDefault="00F44659" w:rsidP="00606466">
      <w:pPr>
        <w:spacing w:before="0" w:after="0"/>
      </w:pPr>
      <w:r w:rsidRPr="00954142">
        <w:rPr>
          <w:noProof/>
          <w:lang w:eastAsia="es-GT"/>
        </w:rPr>
        <w:drawing>
          <wp:inline distT="0" distB="0" distL="0" distR="0" wp14:anchorId="1B9176C4" wp14:editId="17C5E116">
            <wp:extent cx="5971540" cy="1844703"/>
            <wp:effectExtent l="0" t="0" r="0" b="317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9A69E6E" w14:textId="77777777" w:rsidR="00D550B4" w:rsidRPr="00954142" w:rsidRDefault="00D550B4" w:rsidP="0004778B">
      <w:pPr>
        <w:pStyle w:val="Prrafodelista"/>
        <w:spacing w:before="0" w:after="0"/>
        <w:ind w:left="0"/>
        <w:jc w:val="right"/>
        <w:rPr>
          <w:sz w:val="16"/>
          <w:szCs w:val="16"/>
        </w:rPr>
      </w:pPr>
      <w:r w:rsidRPr="00954142">
        <w:rPr>
          <w:sz w:val="16"/>
          <w:szCs w:val="16"/>
        </w:rPr>
        <w:t>*Cifras preliminares</w:t>
      </w:r>
    </w:p>
    <w:p w14:paraId="28189151" w14:textId="7E747C45" w:rsidR="00D550B4" w:rsidRPr="00954142" w:rsidRDefault="00D550B4" w:rsidP="0004778B">
      <w:pPr>
        <w:pStyle w:val="Prrafodelista"/>
        <w:spacing w:before="0" w:after="0"/>
        <w:ind w:left="0"/>
        <w:jc w:val="right"/>
        <w:rPr>
          <w:sz w:val="16"/>
          <w:szCs w:val="16"/>
        </w:rPr>
      </w:pPr>
      <w:r w:rsidRPr="00954142">
        <w:rPr>
          <w:sz w:val="16"/>
          <w:szCs w:val="16"/>
        </w:rPr>
        <w:t xml:space="preserve"> Fuente: MINFIN</w:t>
      </w:r>
    </w:p>
    <w:p w14:paraId="7B785F6C" w14:textId="0D78BD2A" w:rsidR="002E7740" w:rsidRPr="00954142" w:rsidRDefault="004D09F5" w:rsidP="00255602">
      <w:pPr>
        <w:pStyle w:val="Ttulo2"/>
        <w:numPr>
          <w:ilvl w:val="1"/>
          <w:numId w:val="11"/>
        </w:numPr>
        <w:tabs>
          <w:tab w:val="left" w:pos="426"/>
        </w:tabs>
        <w:spacing w:before="0"/>
        <w:ind w:left="284" w:hanging="284"/>
        <w:rPr>
          <w:rFonts w:cs="Times New Roman"/>
          <w:sz w:val="22"/>
          <w:szCs w:val="22"/>
        </w:rPr>
      </w:pPr>
      <w:bookmarkStart w:id="47" w:name="_Toc143170051"/>
      <w:r w:rsidRPr="00954142">
        <w:rPr>
          <w:rFonts w:cs="Times New Roman"/>
          <w:sz w:val="22"/>
          <w:szCs w:val="22"/>
        </w:rPr>
        <w:lastRenderedPageBreak/>
        <w:t xml:space="preserve">La recaudación </w:t>
      </w:r>
      <w:r w:rsidR="00814D98">
        <w:rPr>
          <w:rFonts w:cs="Times New Roman"/>
          <w:sz w:val="22"/>
          <w:szCs w:val="22"/>
        </w:rPr>
        <w:t xml:space="preserve">crece </w:t>
      </w:r>
      <w:r w:rsidR="00155161">
        <w:rPr>
          <w:rFonts w:cs="Times New Roman"/>
          <w:sz w:val="22"/>
          <w:szCs w:val="22"/>
        </w:rPr>
        <w:t>con</w:t>
      </w:r>
      <w:r w:rsidR="00814D98">
        <w:rPr>
          <w:rFonts w:cs="Times New Roman"/>
          <w:sz w:val="22"/>
          <w:szCs w:val="22"/>
        </w:rPr>
        <w:t xml:space="preserve"> menor ritmo</w:t>
      </w:r>
      <w:bookmarkEnd w:id="47"/>
    </w:p>
    <w:p w14:paraId="28CFF77F" w14:textId="6BFDA509" w:rsidR="00770D2B" w:rsidRPr="00954142" w:rsidRDefault="004A7E3D" w:rsidP="00770D2B">
      <w:r w:rsidRPr="00954142">
        <w:rPr>
          <w:noProof/>
          <w:sz w:val="22"/>
          <w:lang w:eastAsia="es-GT"/>
        </w:rPr>
        <w:drawing>
          <wp:anchor distT="0" distB="0" distL="114300" distR="114300" simplePos="0" relativeHeight="251658247" behindDoc="0" locked="0" layoutInCell="1" allowOverlap="1" wp14:anchorId="47A92BC0" wp14:editId="457444AE">
            <wp:simplePos x="0" y="0"/>
            <wp:positionH relativeFrom="margin">
              <wp:posOffset>3237741</wp:posOffset>
            </wp:positionH>
            <wp:positionV relativeFrom="paragraph">
              <wp:posOffset>52532</wp:posOffset>
            </wp:positionV>
            <wp:extent cx="2776855" cy="3681095"/>
            <wp:effectExtent l="0" t="0" r="4445" b="14605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3E1">
        <w:t xml:space="preserve">Al finalizar el segundo trimestre, </w:t>
      </w:r>
      <w:r w:rsidR="00770D2B" w:rsidRPr="00954142">
        <w:t xml:space="preserve">los impuestos </w:t>
      </w:r>
      <w:r w:rsidR="00EE4AC9">
        <w:t xml:space="preserve">recaudados </w:t>
      </w:r>
      <w:r w:rsidR="00BD3EC8">
        <w:t xml:space="preserve">ascienden a </w:t>
      </w:r>
      <w:r w:rsidR="00770D2B" w:rsidRPr="00954142">
        <w:t>Q</w:t>
      </w:r>
      <w:r w:rsidR="00BD3EC8" w:rsidRPr="00BD3EC8">
        <w:t xml:space="preserve">47,991.9 </w:t>
      </w:r>
      <w:r w:rsidR="00770D2B" w:rsidRPr="00954142">
        <w:t>millones</w:t>
      </w:r>
      <w:r w:rsidR="00155161">
        <w:t>,</w:t>
      </w:r>
      <w:r w:rsidR="00BD3EC8">
        <w:t xml:space="preserve"> </w:t>
      </w:r>
      <w:r w:rsidR="003C3DE1">
        <w:t>mostrando</w:t>
      </w:r>
      <w:r w:rsidR="00BD3EC8">
        <w:t xml:space="preserve"> un crecimiento</w:t>
      </w:r>
      <w:r w:rsidR="00770D2B" w:rsidRPr="00954142">
        <w:t xml:space="preserve"> interanual del </w:t>
      </w:r>
      <w:r w:rsidR="003C3DE1">
        <w:t>9.3</w:t>
      </w:r>
      <w:r w:rsidR="00770D2B" w:rsidRPr="00954142">
        <w:t xml:space="preserve"> % (Q</w:t>
      </w:r>
      <w:r w:rsidR="00814D98" w:rsidRPr="003C3DE1">
        <w:t xml:space="preserve">4,085.9 </w:t>
      </w:r>
      <w:r w:rsidR="00814D98" w:rsidRPr="00954142">
        <w:t>millones</w:t>
      </w:r>
      <w:r w:rsidR="00770D2B" w:rsidRPr="00954142">
        <w:t>)</w:t>
      </w:r>
      <w:r w:rsidR="00155161">
        <w:t xml:space="preserve">, la cual </w:t>
      </w:r>
      <w:r w:rsidR="00A15F37">
        <w:t>tiene una</w:t>
      </w:r>
      <w:r w:rsidR="00594929">
        <w:t xml:space="preserve"> tasa de crecimiento men</w:t>
      </w:r>
      <w:r w:rsidR="00D53753">
        <w:t xml:space="preserve">or </w:t>
      </w:r>
      <w:r w:rsidR="00BB2FC0">
        <w:t>respecto a la observada en el año previo del 17.2% (Q</w:t>
      </w:r>
      <w:r w:rsidR="00BB2FC0" w:rsidRPr="00BB2FC0">
        <w:t>6,456.7</w:t>
      </w:r>
      <w:r w:rsidR="00BB2FC0">
        <w:t xml:space="preserve"> millones)</w:t>
      </w:r>
      <w:r w:rsidR="00155161">
        <w:t>, debido principalmente a la contracción que han mostrado las importaciones y la normalización del crecimiento económico que está convergiendo a su nivel potencial</w:t>
      </w:r>
    </w:p>
    <w:p w14:paraId="4D56835A" w14:textId="44358AE6" w:rsidR="00770D2B" w:rsidRPr="00954142" w:rsidRDefault="00770D2B" w:rsidP="00770D2B">
      <w:r>
        <w:t xml:space="preserve">Dentro de los </w:t>
      </w:r>
      <w:r w:rsidRPr="00954142">
        <w:t xml:space="preserve">impuestos </w:t>
      </w:r>
      <w:r>
        <w:t>más relevantes por su participación, se encuentran</w:t>
      </w:r>
      <w:r w:rsidRPr="00954142">
        <w:t>:</w:t>
      </w:r>
    </w:p>
    <w:p w14:paraId="359C7723" w14:textId="7138005D" w:rsidR="00770D2B" w:rsidRDefault="00A64D80" w:rsidP="00770D2B">
      <w:pPr>
        <w:pStyle w:val="Prrafodelista"/>
        <w:numPr>
          <w:ilvl w:val="0"/>
          <w:numId w:val="47"/>
        </w:numPr>
      </w:pPr>
      <w:r w:rsidRPr="00A64D80">
        <w:t>Los impuestos sobre bienes y servicios</w:t>
      </w:r>
      <w:r w:rsidR="00155161">
        <w:t>, estos</w:t>
      </w:r>
      <w:r w:rsidRPr="00A64D80">
        <w:t xml:space="preserve"> son los que han tenido un mayor crecimiento, situándose en una recaudación acumulada de Q</w:t>
      </w:r>
      <w:r w:rsidR="001C3790" w:rsidRPr="001C3790">
        <w:t xml:space="preserve"> 27,233.1 </w:t>
      </w:r>
      <w:r w:rsidRPr="00A64D80">
        <w:t>millones y una tasa de variación del 8</w:t>
      </w:r>
      <w:r w:rsidR="001C3790">
        <w:t>.0</w:t>
      </w:r>
      <w:r w:rsidRPr="00A64D80">
        <w:t>% (Q</w:t>
      </w:r>
      <w:r w:rsidR="00F26E1A" w:rsidRPr="00F26E1A">
        <w:t xml:space="preserve"> 2,021.0 </w:t>
      </w:r>
      <w:r w:rsidRPr="00A64D80">
        <w:t>millones). En esta categoría el más significativo es el IVA que presenta una recaudación a junio de Q</w:t>
      </w:r>
      <w:r w:rsidR="006B36CF" w:rsidRPr="006B36CF">
        <w:t xml:space="preserve">21,859.4 </w:t>
      </w:r>
      <w:r w:rsidR="006B36CF" w:rsidRPr="00A64D80">
        <w:t>millones</w:t>
      </w:r>
      <w:r w:rsidRPr="00A64D80">
        <w:t>, con una tasa de crecimiento del 7.5% (Q1,51</w:t>
      </w:r>
      <w:r w:rsidR="006B36CF">
        <w:t>5</w:t>
      </w:r>
      <w:r w:rsidRPr="00A64D80">
        <w:t>.</w:t>
      </w:r>
      <w:r w:rsidR="006B36CF">
        <w:t>8</w:t>
      </w:r>
      <w:r w:rsidRPr="00A64D80">
        <w:t xml:space="preserve"> millones).</w:t>
      </w:r>
    </w:p>
    <w:p w14:paraId="16BDDCEC" w14:textId="77777777" w:rsidR="0003648B" w:rsidRDefault="0003648B" w:rsidP="0003648B">
      <w:pPr>
        <w:pStyle w:val="Prrafodelista"/>
        <w:ind w:left="360"/>
      </w:pPr>
    </w:p>
    <w:p w14:paraId="5F7236D8" w14:textId="6C035063" w:rsidR="0003648B" w:rsidRPr="00954142" w:rsidRDefault="004857A4" w:rsidP="0003648B">
      <w:pPr>
        <w:pStyle w:val="Prrafodelista"/>
        <w:numPr>
          <w:ilvl w:val="0"/>
          <w:numId w:val="47"/>
        </w:numPr>
      </w:pPr>
      <w:r w:rsidRPr="004857A4">
        <w:t>Los impuestos sobre el ingreso, las utilidades y las ganancias de capital son la segunda categoría con mayor crecimiento</w:t>
      </w:r>
      <w:r w:rsidR="000D73A6">
        <w:t xml:space="preserve"> al segundo trimestre del año</w:t>
      </w:r>
      <w:r w:rsidRPr="004857A4">
        <w:t xml:space="preserve">, </w:t>
      </w:r>
      <w:r w:rsidR="000D73A6">
        <w:t xml:space="preserve">teniendo una recaudación de </w:t>
      </w:r>
      <w:r w:rsidRPr="004857A4">
        <w:t>Q17,126.2 millones</w:t>
      </w:r>
      <w:r w:rsidR="00155161">
        <w:t>,</w:t>
      </w:r>
      <w:r w:rsidRPr="004857A4">
        <w:t xml:space="preserve"> </w:t>
      </w:r>
      <w:r w:rsidR="00155161">
        <w:t>mostrando</w:t>
      </w:r>
      <w:r w:rsidRPr="004857A4">
        <w:t xml:space="preserve"> una variación del 12.4% (Q1,882.7 millones)</w:t>
      </w:r>
      <w:r w:rsidR="00155161">
        <w:t>,</w:t>
      </w:r>
      <w:r w:rsidRPr="004857A4">
        <w:t xml:space="preserve"> de los cuales el impuesto aplicado a sociedades y otras empresas es el que se incrementó en mayor medida </w:t>
      </w:r>
      <w:r w:rsidR="00155161">
        <w:t>en</w:t>
      </w:r>
      <w:r w:rsidRPr="004857A4">
        <w:t xml:space="preserve"> 12.9% (Q1,723.4 millones) respecto a lo observado en el año previo</w:t>
      </w:r>
      <w:r w:rsidR="00155161">
        <w:t>,</w:t>
      </w:r>
      <w:r w:rsidRPr="004857A4">
        <w:t xml:space="preserve"> y los asociados a personas físicas </w:t>
      </w:r>
      <w:r w:rsidR="00155161">
        <w:t>se incrementaron</w:t>
      </w:r>
      <w:r w:rsidRPr="004857A4">
        <w:t xml:space="preserve"> 8.5% (Q159.3 millones).</w:t>
      </w:r>
    </w:p>
    <w:p w14:paraId="2C8B3037" w14:textId="031B885E" w:rsidR="00770D2B" w:rsidRPr="00A83AA2" w:rsidRDefault="00CE46ED" w:rsidP="000E57A1">
      <w:r>
        <w:t>E</w:t>
      </w:r>
      <w:r w:rsidR="00770D2B" w:rsidRPr="00954142">
        <w:t xml:space="preserve">l gobierno central </w:t>
      </w:r>
      <w:r w:rsidR="00770D2B" w:rsidRPr="00A83AA2">
        <w:t xml:space="preserve">presupuestario </w:t>
      </w:r>
      <w:r w:rsidR="00181C79">
        <w:t xml:space="preserve">es el subsector que </w:t>
      </w:r>
      <w:r w:rsidR="00D611D2">
        <w:t>mayor ingreso</w:t>
      </w:r>
      <w:r w:rsidR="005F06A7">
        <w:t xml:space="preserve"> por impuestos </w:t>
      </w:r>
      <w:r w:rsidR="006E4D35">
        <w:t>aporta al gobierno general</w:t>
      </w:r>
      <w:r w:rsidR="005F06A7">
        <w:t>,</w:t>
      </w:r>
      <w:r w:rsidR="00181C79">
        <w:t xml:space="preserve"> </w:t>
      </w:r>
      <w:r w:rsidR="005F06A7">
        <w:t>teniendo una participación del</w:t>
      </w:r>
      <w:r w:rsidR="00770D2B" w:rsidRPr="00A83AA2">
        <w:t xml:space="preserve"> 9</w:t>
      </w:r>
      <w:r w:rsidR="00D03C8A">
        <w:t>5</w:t>
      </w:r>
      <w:r w:rsidR="008A578C">
        <w:t>.</w:t>
      </w:r>
      <w:r w:rsidR="00D03C8A">
        <w:t>4</w:t>
      </w:r>
      <w:r w:rsidR="00770D2B" w:rsidRPr="00A83AA2">
        <w:t>%</w:t>
      </w:r>
      <w:r w:rsidR="005F06A7">
        <w:t xml:space="preserve"> sobre el</w:t>
      </w:r>
      <w:r w:rsidR="00770D2B" w:rsidRPr="00A83AA2">
        <w:t xml:space="preserve"> total de los impuestos </w:t>
      </w:r>
      <w:r w:rsidR="00181C79">
        <w:t>que se recaudan</w:t>
      </w:r>
      <w:r w:rsidR="00D611D2">
        <w:t>,</w:t>
      </w:r>
      <w:r w:rsidR="00992C64">
        <w:t xml:space="preserve"> mientras que</w:t>
      </w:r>
      <w:r w:rsidR="00770D2B" w:rsidRPr="00A83AA2">
        <w:t xml:space="preserve"> el gobierno central extrapresupuestario recaudó </w:t>
      </w:r>
      <w:r w:rsidR="00D611D2">
        <w:t>0</w:t>
      </w:r>
      <w:r w:rsidR="006C512F">
        <w:t>.9</w:t>
      </w:r>
      <w:r w:rsidR="00770D2B" w:rsidRPr="00A83AA2">
        <w:t>%</w:t>
      </w:r>
      <w:r w:rsidR="00992C64">
        <w:t xml:space="preserve"> derivado </w:t>
      </w:r>
      <w:r w:rsidR="00770D2B" w:rsidRPr="00A83AA2">
        <w:t xml:space="preserve">principalmente </w:t>
      </w:r>
      <w:r w:rsidR="00155161">
        <w:t>a recaudación percibida por</w:t>
      </w:r>
      <w:r w:rsidR="00770D2B" w:rsidRPr="00A83AA2">
        <w:t xml:space="preserve"> el INTECAP y el INGUAT</w:t>
      </w:r>
      <w:r w:rsidR="00992C64">
        <w:t xml:space="preserve"> </w:t>
      </w:r>
      <w:r w:rsidR="00770D2B" w:rsidRPr="00A83AA2">
        <w:t xml:space="preserve">y los gobiernos locales el </w:t>
      </w:r>
      <w:r w:rsidR="00D611D2">
        <w:t>3</w:t>
      </w:r>
      <w:r w:rsidR="00770D2B" w:rsidRPr="00A83AA2">
        <w:t>.</w:t>
      </w:r>
      <w:r w:rsidR="006C512F">
        <w:t>7</w:t>
      </w:r>
      <w:r w:rsidR="00992C64" w:rsidRPr="00A83AA2">
        <w:t xml:space="preserve">% </w:t>
      </w:r>
      <w:r w:rsidR="0011022F">
        <w:t>(</w:t>
      </w:r>
      <w:r w:rsidR="00992C64">
        <w:t xml:space="preserve">producto principalmente </w:t>
      </w:r>
      <w:r w:rsidR="00004C61">
        <w:t>de</w:t>
      </w:r>
      <w:r w:rsidR="00667387">
        <w:t xml:space="preserve"> la recaudación d</w:t>
      </w:r>
      <w:r w:rsidR="00770D2B" w:rsidRPr="00A83AA2">
        <w:t>el IUSI y la tasa de alumbrado público).</w:t>
      </w:r>
    </w:p>
    <w:p w14:paraId="59FE4626" w14:textId="77777777" w:rsidR="00770D2B" w:rsidRDefault="00770D2B" w:rsidP="00770D2B">
      <w:pPr>
        <w:pStyle w:val="Prrafodelista"/>
      </w:pPr>
    </w:p>
    <w:p w14:paraId="2A0834A9" w14:textId="383C197E" w:rsidR="00710798" w:rsidRPr="00954142" w:rsidRDefault="00710798" w:rsidP="00710798">
      <w:pPr>
        <w:pStyle w:val="Ttulo2"/>
        <w:numPr>
          <w:ilvl w:val="1"/>
          <w:numId w:val="11"/>
        </w:numPr>
        <w:tabs>
          <w:tab w:val="left" w:pos="426"/>
        </w:tabs>
        <w:spacing w:before="0"/>
        <w:ind w:left="284" w:hanging="284"/>
        <w:rPr>
          <w:rFonts w:cs="Times New Roman"/>
          <w:sz w:val="22"/>
          <w:szCs w:val="22"/>
        </w:rPr>
      </w:pPr>
      <w:bookmarkStart w:id="48" w:name="_Toc143170052"/>
      <w:r w:rsidRPr="00954142">
        <w:rPr>
          <w:rFonts w:cs="Times New Roman"/>
          <w:sz w:val="22"/>
          <w:szCs w:val="22"/>
        </w:rPr>
        <w:t xml:space="preserve">Las contribuciones </w:t>
      </w:r>
      <w:r w:rsidR="003053E3">
        <w:rPr>
          <w:rFonts w:cs="Times New Roman"/>
          <w:sz w:val="22"/>
          <w:szCs w:val="22"/>
        </w:rPr>
        <w:t>s</w:t>
      </w:r>
      <w:r w:rsidRPr="00954142">
        <w:rPr>
          <w:rFonts w:cs="Times New Roman"/>
          <w:sz w:val="22"/>
          <w:szCs w:val="22"/>
        </w:rPr>
        <w:t>ociale</w:t>
      </w:r>
      <w:r w:rsidR="00F71E1E" w:rsidRPr="00954142">
        <w:rPr>
          <w:rFonts w:cs="Times New Roman"/>
          <w:sz w:val="22"/>
          <w:szCs w:val="22"/>
        </w:rPr>
        <w:t xml:space="preserve">s </w:t>
      </w:r>
      <w:r w:rsidR="00CB5FB0">
        <w:rPr>
          <w:rFonts w:cs="Times New Roman"/>
          <w:sz w:val="22"/>
          <w:szCs w:val="22"/>
        </w:rPr>
        <w:t>con alto dinamísmo</w:t>
      </w:r>
      <w:bookmarkEnd w:id="48"/>
    </w:p>
    <w:p w14:paraId="02B913ED" w14:textId="34BDCE03" w:rsidR="002F516E" w:rsidRDefault="00A83AA2" w:rsidP="002F516E">
      <w:r w:rsidRPr="00954142">
        <w:rPr>
          <w:noProof/>
          <w:sz w:val="24"/>
          <w:lang w:eastAsia="es-GT"/>
        </w:rPr>
        <w:drawing>
          <wp:anchor distT="0" distB="0" distL="114300" distR="114300" simplePos="0" relativeHeight="251658249" behindDoc="0" locked="0" layoutInCell="1" allowOverlap="1" wp14:anchorId="43A34F23" wp14:editId="41F289DB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2933065" cy="2368550"/>
            <wp:effectExtent l="0" t="0" r="635" b="0"/>
            <wp:wrapSquare wrapText="bothSides"/>
            <wp:docPr id="1411651892" name="Gráfico 14116518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841">
        <w:t xml:space="preserve">En cuanto </w:t>
      </w:r>
      <w:r w:rsidR="00155161">
        <w:t xml:space="preserve">a </w:t>
      </w:r>
      <w:r w:rsidR="008F5841">
        <w:t>los ingresos por c</w:t>
      </w:r>
      <w:r w:rsidR="002F516E" w:rsidRPr="00954142">
        <w:t>ontribuciones sociales</w:t>
      </w:r>
      <w:r w:rsidR="008F5841">
        <w:t>,</w:t>
      </w:r>
      <w:r w:rsidR="002F516E" w:rsidRPr="00954142">
        <w:t xml:space="preserve"> </w:t>
      </w:r>
      <w:r w:rsidR="008F5841">
        <w:t xml:space="preserve">estos </w:t>
      </w:r>
      <w:r w:rsidR="002F516E" w:rsidRPr="00954142">
        <w:t>ascendieron a Q</w:t>
      </w:r>
      <w:r w:rsidR="00497562" w:rsidRPr="00497562">
        <w:t xml:space="preserve">10,807.8 </w:t>
      </w:r>
      <w:r w:rsidR="002F516E" w:rsidRPr="00954142">
        <w:t>millones</w:t>
      </w:r>
      <w:r w:rsidR="00155161">
        <w:t>,</w:t>
      </w:r>
      <w:r w:rsidR="00497562">
        <w:t xml:space="preserve"> mostrando</w:t>
      </w:r>
      <w:r w:rsidR="002F516E">
        <w:t xml:space="preserve"> </w:t>
      </w:r>
      <w:r w:rsidR="002F516E" w:rsidRPr="00954142">
        <w:t xml:space="preserve">un crecimiento </w:t>
      </w:r>
      <w:r w:rsidR="002F516E">
        <w:t>interanual de</w:t>
      </w:r>
      <w:r w:rsidR="00497562">
        <w:t>l</w:t>
      </w:r>
      <w:r w:rsidR="002F516E">
        <w:t xml:space="preserve"> </w:t>
      </w:r>
      <w:r w:rsidR="00497562">
        <w:t>14.2</w:t>
      </w:r>
      <w:r w:rsidR="002F516E" w:rsidRPr="00954142">
        <w:t>% (Q</w:t>
      </w:r>
      <w:r w:rsidR="00497562">
        <w:t>1,346.5</w:t>
      </w:r>
      <w:r w:rsidR="002F516E" w:rsidRPr="00954142">
        <w:t xml:space="preserve"> millones)</w:t>
      </w:r>
      <w:r w:rsidR="00155161">
        <w:t>,</w:t>
      </w:r>
      <w:r w:rsidR="009E3953">
        <w:t xml:space="preserve"> por encima de su crecimiento observado en el año previo</w:t>
      </w:r>
      <w:r w:rsidR="00155161">
        <w:t xml:space="preserve"> que fue</w:t>
      </w:r>
      <w:r w:rsidR="009E3953">
        <w:t xml:space="preserve"> de 6.1% (</w:t>
      </w:r>
      <w:r w:rsidR="00221F6A">
        <w:t>Q548.1 millones)</w:t>
      </w:r>
      <w:r w:rsidR="002F516E" w:rsidRPr="00954142">
        <w:t>.</w:t>
      </w:r>
    </w:p>
    <w:p w14:paraId="113E22EC" w14:textId="199D2CC0" w:rsidR="002F516E" w:rsidRDefault="00F90A63" w:rsidP="002F516E">
      <w:r>
        <w:t>L</w:t>
      </w:r>
      <w:r w:rsidR="002F516E" w:rsidRPr="00954142">
        <w:t>as contribuciones a la seguridad social (</w:t>
      </w:r>
      <w:r w:rsidR="002F516E">
        <w:t xml:space="preserve">que constituyen </w:t>
      </w:r>
      <w:r w:rsidR="002F516E" w:rsidRPr="00954142">
        <w:t xml:space="preserve">ingresos recibidos solamente por las entidades de seguridad social) </w:t>
      </w:r>
      <w:r w:rsidR="002F516E">
        <w:t xml:space="preserve">ascendieron a </w:t>
      </w:r>
      <w:r w:rsidR="002F516E" w:rsidRPr="00954142">
        <w:t>Q</w:t>
      </w:r>
      <w:r w:rsidR="001F7B83" w:rsidRPr="001F7B83">
        <w:t xml:space="preserve"> 7,349.9 </w:t>
      </w:r>
      <w:r w:rsidR="002F516E" w:rsidRPr="00954142">
        <w:t>millones</w:t>
      </w:r>
      <w:r w:rsidR="002F516E">
        <w:t>,</w:t>
      </w:r>
      <w:r w:rsidR="002F516E" w:rsidRPr="00954142">
        <w:t xml:space="preserve"> con una tasa de crecimiento</w:t>
      </w:r>
      <w:r w:rsidR="00155161">
        <w:t xml:space="preserve"> interanual</w:t>
      </w:r>
      <w:r w:rsidR="002F516E" w:rsidRPr="00954142">
        <w:t xml:space="preserve"> del </w:t>
      </w:r>
      <w:r w:rsidR="002F516E">
        <w:t>12.</w:t>
      </w:r>
      <w:r w:rsidR="001F7B83">
        <w:t>0</w:t>
      </w:r>
      <w:r w:rsidR="002F516E" w:rsidRPr="00954142">
        <w:t>% (Q</w:t>
      </w:r>
      <w:r w:rsidR="0071175D" w:rsidRPr="0071175D">
        <w:t xml:space="preserve"> 789.7 </w:t>
      </w:r>
      <w:r w:rsidR="002F516E" w:rsidRPr="00954142">
        <w:t>millones)</w:t>
      </w:r>
      <w:r w:rsidR="00E92360">
        <w:t>,</w:t>
      </w:r>
      <w:r w:rsidR="002F516E">
        <w:t xml:space="preserve"> en tanto</w:t>
      </w:r>
      <w:r w:rsidR="00732E93">
        <w:t xml:space="preserve"> la categoría de</w:t>
      </w:r>
      <w:r w:rsidR="002F516E">
        <w:t xml:space="preserve"> </w:t>
      </w:r>
      <w:r w:rsidR="002F516E" w:rsidRPr="00954142">
        <w:t xml:space="preserve">las otras contribuciones </w:t>
      </w:r>
      <w:r w:rsidR="00C92759" w:rsidRPr="00954142">
        <w:t>sociales ascendieron</w:t>
      </w:r>
      <w:r w:rsidR="002F516E">
        <w:t xml:space="preserve"> a </w:t>
      </w:r>
      <w:r w:rsidR="002F516E" w:rsidRPr="00954142">
        <w:t>Q</w:t>
      </w:r>
      <w:r w:rsidR="00D57C3A" w:rsidRPr="00D57C3A">
        <w:t xml:space="preserve">3,457.9 </w:t>
      </w:r>
      <w:r w:rsidR="002F516E" w:rsidRPr="00954142">
        <w:t>millones</w:t>
      </w:r>
      <w:r w:rsidR="002F516E">
        <w:t>,</w:t>
      </w:r>
      <w:r w:rsidR="002F516E" w:rsidRPr="00954142">
        <w:t xml:space="preserve"> con una variación interanual de</w:t>
      </w:r>
      <w:r w:rsidR="00D57C3A">
        <w:t>l</w:t>
      </w:r>
      <w:r w:rsidR="002F516E" w:rsidRPr="00954142">
        <w:t xml:space="preserve"> </w:t>
      </w:r>
      <w:r w:rsidR="00D57C3A">
        <w:t>19</w:t>
      </w:r>
      <w:r w:rsidR="002F516E">
        <w:t>.</w:t>
      </w:r>
      <w:r w:rsidR="00D57C3A">
        <w:t>2</w:t>
      </w:r>
      <w:r w:rsidR="002F516E" w:rsidRPr="00954142">
        <w:t>% (Q</w:t>
      </w:r>
      <w:r w:rsidR="006F286F">
        <w:t>556</w:t>
      </w:r>
      <w:r w:rsidR="002F516E">
        <w:t>.</w:t>
      </w:r>
      <w:r w:rsidR="006F286F">
        <w:t>8</w:t>
      </w:r>
      <w:r w:rsidR="002F516E" w:rsidRPr="00954142">
        <w:t xml:space="preserve"> millones)</w:t>
      </w:r>
      <w:r w:rsidR="002F516E">
        <w:t>.</w:t>
      </w:r>
    </w:p>
    <w:p w14:paraId="7AD96CDB" w14:textId="21FBF57F" w:rsidR="001D0612" w:rsidRPr="002F516E" w:rsidRDefault="006F286F" w:rsidP="002F516E">
      <w:pPr>
        <w:rPr>
          <w:lang w:val="es-MX"/>
        </w:rPr>
      </w:pPr>
      <w:r>
        <w:t xml:space="preserve">Los </w:t>
      </w:r>
      <w:r w:rsidR="002F516E" w:rsidRPr="008B0FD8">
        <w:t>fondos de seguridad</w:t>
      </w:r>
      <w:r w:rsidR="002C10E9">
        <w:t xml:space="preserve"> recaudan el</w:t>
      </w:r>
      <w:r>
        <w:t xml:space="preserve"> </w:t>
      </w:r>
      <w:r w:rsidR="00694F80">
        <w:t>70</w:t>
      </w:r>
      <w:r w:rsidR="00F80AF1" w:rsidRPr="008B0FD8">
        <w:t>.</w:t>
      </w:r>
      <w:r w:rsidR="00694F80">
        <w:t>9</w:t>
      </w:r>
      <w:r w:rsidR="002F516E" w:rsidRPr="008B0FD8">
        <w:t>%</w:t>
      </w:r>
      <w:r w:rsidR="00707885">
        <w:t xml:space="preserve"> de</w:t>
      </w:r>
      <w:r w:rsidR="002C10E9">
        <w:t xml:space="preserve"> estos ingresos,</w:t>
      </w:r>
      <w:r w:rsidR="00707885">
        <w:t xml:space="preserve"> </w:t>
      </w:r>
      <w:r w:rsidR="002F516E" w:rsidRPr="008B0FD8">
        <w:t xml:space="preserve">seguido del gobierno central presupuestario con </w:t>
      </w:r>
      <w:r w:rsidR="0057526C">
        <w:t xml:space="preserve">el </w:t>
      </w:r>
      <w:r w:rsidR="00F80AF1" w:rsidRPr="008B0FD8">
        <w:t>2</w:t>
      </w:r>
      <w:r w:rsidR="00384C6A">
        <w:t>5</w:t>
      </w:r>
      <w:r w:rsidR="002F516E" w:rsidRPr="008B0FD8">
        <w:t>.</w:t>
      </w:r>
      <w:r w:rsidR="00384C6A">
        <w:t>3</w:t>
      </w:r>
      <w:r w:rsidR="002F516E" w:rsidRPr="008B0FD8">
        <w:t>%</w:t>
      </w:r>
      <w:r w:rsidR="0057526C">
        <w:t>,</w:t>
      </w:r>
      <w:r w:rsidR="002F516E" w:rsidRPr="008B0FD8">
        <w:t xml:space="preserve"> el gobierno central extrapresupuestario con </w:t>
      </w:r>
      <w:r w:rsidR="0057526C">
        <w:t xml:space="preserve">el </w:t>
      </w:r>
      <w:r w:rsidR="00F80AF1" w:rsidRPr="008B0FD8">
        <w:t>2</w:t>
      </w:r>
      <w:r w:rsidR="00081E99">
        <w:t>.</w:t>
      </w:r>
      <w:r w:rsidR="00384C6A">
        <w:t>7</w:t>
      </w:r>
      <w:r w:rsidR="002F516E" w:rsidRPr="008B0FD8">
        <w:t xml:space="preserve">% y los gobiernos locales con </w:t>
      </w:r>
      <w:r w:rsidR="00500E50" w:rsidRPr="008B0FD8">
        <w:t xml:space="preserve">el </w:t>
      </w:r>
      <w:r w:rsidR="002F516E" w:rsidRPr="008B0FD8">
        <w:t>1.</w:t>
      </w:r>
      <w:r w:rsidR="00081E99">
        <w:t>1</w:t>
      </w:r>
      <w:r w:rsidR="002F516E" w:rsidRPr="008B0FD8">
        <w:t>%.</w:t>
      </w:r>
    </w:p>
    <w:p w14:paraId="7E0B5894" w14:textId="0C149BBA" w:rsidR="00E66A98" w:rsidRPr="00954142" w:rsidRDefault="00E66A98" w:rsidP="00E66A98">
      <w:pPr>
        <w:pStyle w:val="Prrafodelista"/>
        <w:numPr>
          <w:ilvl w:val="0"/>
          <w:numId w:val="32"/>
        </w:numPr>
        <w:outlineLvl w:val="2"/>
        <w:rPr>
          <w:rFonts w:cs="Times New Roman"/>
          <w:b/>
          <w:vanish/>
          <w:lang w:val="es-MX"/>
        </w:rPr>
      </w:pPr>
      <w:bookmarkStart w:id="49" w:name="_Toc135128836"/>
      <w:bookmarkStart w:id="50" w:name="_Toc135128869"/>
      <w:bookmarkStart w:id="51" w:name="_Toc135133709"/>
      <w:bookmarkStart w:id="52" w:name="_Toc135143046"/>
      <w:bookmarkStart w:id="53" w:name="_Toc135819364"/>
      <w:bookmarkStart w:id="54" w:name="_Toc136329481"/>
      <w:bookmarkStart w:id="55" w:name="_Toc136329602"/>
      <w:bookmarkStart w:id="56" w:name="_Toc136611279"/>
      <w:bookmarkStart w:id="57" w:name="_Toc136611324"/>
      <w:bookmarkStart w:id="58" w:name="_Toc136611441"/>
      <w:bookmarkStart w:id="59" w:name="_Toc136611488"/>
      <w:bookmarkStart w:id="60" w:name="_Toc136611576"/>
      <w:bookmarkStart w:id="61" w:name="_Toc139876568"/>
      <w:bookmarkStart w:id="62" w:name="_Toc139876595"/>
      <w:bookmarkStart w:id="63" w:name="_Toc139876845"/>
      <w:bookmarkStart w:id="64" w:name="_Toc139876873"/>
      <w:bookmarkStart w:id="65" w:name="_Toc139876909"/>
      <w:bookmarkStart w:id="66" w:name="_Toc142898565"/>
      <w:bookmarkStart w:id="67" w:name="_Toc143164402"/>
      <w:bookmarkStart w:id="68" w:name="_Toc143164495"/>
      <w:bookmarkStart w:id="69" w:name="_Toc143164523"/>
      <w:bookmarkStart w:id="70" w:name="_Toc143167414"/>
      <w:bookmarkStart w:id="71" w:name="_Toc143170053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14523242" w14:textId="77777777" w:rsidR="00E66A98" w:rsidRPr="00954142" w:rsidRDefault="00E66A98" w:rsidP="00E66A98">
      <w:pPr>
        <w:pStyle w:val="Prrafodelista"/>
        <w:numPr>
          <w:ilvl w:val="1"/>
          <w:numId w:val="32"/>
        </w:numPr>
        <w:outlineLvl w:val="2"/>
        <w:rPr>
          <w:rFonts w:cs="Times New Roman"/>
          <w:b/>
          <w:vanish/>
          <w:lang w:val="es-MX"/>
        </w:rPr>
      </w:pPr>
      <w:bookmarkStart w:id="72" w:name="_Toc31612760"/>
      <w:bookmarkStart w:id="73" w:name="_Toc31612792"/>
      <w:bookmarkStart w:id="74" w:name="_Toc31614818"/>
      <w:bookmarkStart w:id="75" w:name="_Toc31614850"/>
      <w:bookmarkStart w:id="76" w:name="_Toc31618687"/>
      <w:bookmarkStart w:id="77" w:name="_Toc31618720"/>
      <w:bookmarkStart w:id="78" w:name="_Toc31624496"/>
      <w:bookmarkStart w:id="79" w:name="_Toc31625348"/>
      <w:bookmarkStart w:id="80" w:name="_Toc31626803"/>
      <w:bookmarkStart w:id="81" w:name="_Toc31811254"/>
      <w:bookmarkStart w:id="82" w:name="_Toc31811699"/>
      <w:bookmarkStart w:id="83" w:name="_Toc31971862"/>
      <w:bookmarkStart w:id="84" w:name="_Toc32230884"/>
      <w:bookmarkStart w:id="85" w:name="_Toc33109783"/>
      <w:bookmarkStart w:id="86" w:name="_Toc33109826"/>
      <w:bookmarkStart w:id="87" w:name="_Toc33180547"/>
      <w:bookmarkStart w:id="88" w:name="_Toc33180641"/>
      <w:bookmarkStart w:id="89" w:name="_Toc33193538"/>
      <w:bookmarkStart w:id="90" w:name="_Toc33193577"/>
      <w:bookmarkStart w:id="91" w:name="_Toc33196774"/>
      <w:bookmarkStart w:id="92" w:name="_Toc40691750"/>
      <w:bookmarkStart w:id="93" w:name="_Toc40959153"/>
      <w:bookmarkStart w:id="94" w:name="_Toc40975987"/>
      <w:bookmarkStart w:id="95" w:name="_Toc40976056"/>
      <w:bookmarkStart w:id="96" w:name="_Toc40993311"/>
      <w:bookmarkStart w:id="97" w:name="_Toc40993693"/>
      <w:bookmarkStart w:id="98" w:name="_Toc41037569"/>
      <w:bookmarkStart w:id="99" w:name="_Toc41254129"/>
      <w:bookmarkStart w:id="100" w:name="_Toc41254161"/>
      <w:bookmarkStart w:id="101" w:name="_Toc41254181"/>
      <w:bookmarkStart w:id="102" w:name="_Toc42023954"/>
      <w:bookmarkStart w:id="103" w:name="_Toc42024007"/>
      <w:bookmarkStart w:id="104" w:name="_Toc42069105"/>
      <w:bookmarkStart w:id="105" w:name="_Toc49422051"/>
      <w:bookmarkStart w:id="106" w:name="_Toc49422077"/>
      <w:bookmarkStart w:id="107" w:name="_Toc49430656"/>
      <w:bookmarkStart w:id="108" w:name="_Toc49430682"/>
      <w:bookmarkStart w:id="109" w:name="_Toc49750459"/>
      <w:bookmarkStart w:id="110" w:name="_Toc49750709"/>
      <w:bookmarkStart w:id="111" w:name="_Toc49750737"/>
      <w:bookmarkStart w:id="112" w:name="_Toc55284823"/>
      <w:bookmarkStart w:id="113" w:name="_Toc55298841"/>
      <w:bookmarkStart w:id="114" w:name="_Toc55373822"/>
      <w:bookmarkStart w:id="115" w:name="_Toc55373995"/>
      <w:bookmarkStart w:id="116" w:name="_Toc55375132"/>
      <w:bookmarkStart w:id="117" w:name="_Toc55396540"/>
      <w:bookmarkStart w:id="118" w:name="_Toc65230536"/>
      <w:bookmarkStart w:id="119" w:name="_Toc65230774"/>
      <w:bookmarkStart w:id="120" w:name="_Toc65232058"/>
      <w:bookmarkStart w:id="121" w:name="_Toc65232303"/>
      <w:bookmarkStart w:id="122" w:name="_Toc66716162"/>
      <w:bookmarkStart w:id="123" w:name="_Toc71097207"/>
      <w:bookmarkStart w:id="124" w:name="_Toc71097238"/>
      <w:bookmarkStart w:id="125" w:name="_Toc71097313"/>
      <w:bookmarkStart w:id="126" w:name="_Toc71108053"/>
      <w:bookmarkStart w:id="127" w:name="_Toc79055247"/>
      <w:bookmarkStart w:id="128" w:name="_Toc79055278"/>
      <w:bookmarkStart w:id="129" w:name="_Toc79060169"/>
      <w:bookmarkStart w:id="130" w:name="_Toc79060456"/>
      <w:bookmarkStart w:id="131" w:name="_Toc81307813"/>
      <w:bookmarkStart w:id="132" w:name="_Toc83376474"/>
      <w:bookmarkStart w:id="133" w:name="_Toc86386713"/>
      <w:bookmarkStart w:id="134" w:name="_Toc86405399"/>
      <w:bookmarkStart w:id="135" w:name="_Toc98162429"/>
      <w:bookmarkStart w:id="136" w:name="_Toc98162461"/>
      <w:bookmarkStart w:id="137" w:name="_Toc98234987"/>
      <w:bookmarkStart w:id="138" w:name="_Toc98235182"/>
      <w:bookmarkStart w:id="139" w:name="_Toc98235267"/>
      <w:bookmarkStart w:id="140" w:name="_Toc98757137"/>
      <w:bookmarkStart w:id="141" w:name="_Toc101874692"/>
      <w:bookmarkStart w:id="142" w:name="_Toc101954148"/>
      <w:bookmarkStart w:id="143" w:name="_Toc101971965"/>
      <w:bookmarkStart w:id="144" w:name="_Toc101974057"/>
      <w:bookmarkStart w:id="145" w:name="_Toc102039742"/>
      <w:bookmarkStart w:id="146" w:name="_Toc102039780"/>
      <w:bookmarkStart w:id="147" w:name="_Toc102039820"/>
      <w:bookmarkStart w:id="148" w:name="_Toc102039851"/>
      <w:bookmarkStart w:id="149" w:name="_Toc102040909"/>
      <w:bookmarkStart w:id="150" w:name="_Toc102477757"/>
      <w:bookmarkStart w:id="151" w:name="_Toc102477788"/>
      <w:bookmarkStart w:id="152" w:name="_Toc109824818"/>
      <w:bookmarkStart w:id="153" w:name="_Toc109828774"/>
      <w:bookmarkStart w:id="154" w:name="_Toc109828837"/>
      <w:bookmarkStart w:id="155" w:name="_Toc109829013"/>
      <w:bookmarkStart w:id="156" w:name="_Toc109829044"/>
      <w:bookmarkStart w:id="157" w:name="_Toc109833888"/>
      <w:bookmarkStart w:id="158" w:name="_Toc110237431"/>
      <w:bookmarkStart w:id="159" w:name="_Toc117775308"/>
      <w:bookmarkStart w:id="160" w:name="_Toc117781277"/>
      <w:bookmarkStart w:id="161" w:name="_Toc125620806"/>
      <w:bookmarkStart w:id="162" w:name="_Toc125620837"/>
      <w:bookmarkStart w:id="163" w:name="_Toc125620868"/>
      <w:bookmarkStart w:id="164" w:name="_Toc125620904"/>
      <w:bookmarkStart w:id="165" w:name="_Toc125620935"/>
      <w:bookmarkStart w:id="166" w:name="_Toc125620968"/>
      <w:bookmarkStart w:id="167" w:name="_Toc125621021"/>
      <w:bookmarkStart w:id="168" w:name="_Toc125621075"/>
      <w:bookmarkStart w:id="169" w:name="_Toc125623553"/>
      <w:bookmarkStart w:id="170" w:name="_Toc125623585"/>
      <w:bookmarkStart w:id="171" w:name="_Toc125623617"/>
      <w:bookmarkStart w:id="172" w:name="_Toc125970363"/>
      <w:bookmarkStart w:id="173" w:name="_Toc125970395"/>
      <w:bookmarkStart w:id="174" w:name="_Toc127365846"/>
      <w:bookmarkStart w:id="175" w:name="_Toc127434598"/>
      <w:bookmarkStart w:id="176" w:name="_Toc127436965"/>
      <w:bookmarkStart w:id="177" w:name="_Toc127437327"/>
      <w:bookmarkStart w:id="178" w:name="_Toc127437680"/>
      <w:bookmarkStart w:id="179" w:name="_Toc135128837"/>
      <w:bookmarkStart w:id="180" w:name="_Toc135128870"/>
      <w:bookmarkStart w:id="181" w:name="_Toc135133710"/>
      <w:bookmarkStart w:id="182" w:name="_Toc135143047"/>
      <w:bookmarkStart w:id="183" w:name="_Toc135819365"/>
      <w:bookmarkStart w:id="184" w:name="_Toc136329482"/>
      <w:bookmarkStart w:id="185" w:name="_Toc136329603"/>
      <w:bookmarkStart w:id="186" w:name="_Toc136611280"/>
      <w:bookmarkStart w:id="187" w:name="_Toc136611325"/>
      <w:bookmarkStart w:id="188" w:name="_Toc136611442"/>
      <w:bookmarkStart w:id="189" w:name="_Toc136611489"/>
      <w:bookmarkStart w:id="190" w:name="_Toc136611577"/>
      <w:bookmarkStart w:id="191" w:name="_Toc139876569"/>
      <w:bookmarkStart w:id="192" w:name="_Toc139876596"/>
      <w:bookmarkStart w:id="193" w:name="_Toc139876846"/>
      <w:bookmarkStart w:id="194" w:name="_Toc139876874"/>
      <w:bookmarkStart w:id="195" w:name="_Toc139876910"/>
      <w:bookmarkStart w:id="196" w:name="_Toc142898566"/>
      <w:bookmarkStart w:id="197" w:name="_Toc143164403"/>
      <w:bookmarkStart w:id="198" w:name="_Toc143164496"/>
      <w:bookmarkStart w:id="199" w:name="_Toc143164524"/>
      <w:bookmarkStart w:id="200" w:name="_Toc143167415"/>
      <w:bookmarkStart w:id="201" w:name="_Toc143170054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14:paraId="305ED7A2" w14:textId="77777777" w:rsidR="00E66A98" w:rsidRPr="00954142" w:rsidRDefault="00E66A98" w:rsidP="00E66A98">
      <w:pPr>
        <w:pStyle w:val="Prrafodelista"/>
        <w:numPr>
          <w:ilvl w:val="1"/>
          <w:numId w:val="32"/>
        </w:numPr>
        <w:outlineLvl w:val="2"/>
        <w:rPr>
          <w:rFonts w:cs="Times New Roman"/>
          <w:b/>
          <w:vanish/>
          <w:lang w:val="es-MX"/>
        </w:rPr>
      </w:pPr>
      <w:bookmarkStart w:id="202" w:name="_Toc31612761"/>
      <w:bookmarkStart w:id="203" w:name="_Toc31612793"/>
      <w:bookmarkStart w:id="204" w:name="_Toc31614819"/>
      <w:bookmarkStart w:id="205" w:name="_Toc31614851"/>
      <w:bookmarkStart w:id="206" w:name="_Toc31618688"/>
      <w:bookmarkStart w:id="207" w:name="_Toc31618721"/>
      <w:bookmarkStart w:id="208" w:name="_Toc31624497"/>
      <w:bookmarkStart w:id="209" w:name="_Toc31625349"/>
      <w:bookmarkStart w:id="210" w:name="_Toc31626804"/>
      <w:bookmarkStart w:id="211" w:name="_Toc31811255"/>
      <w:bookmarkStart w:id="212" w:name="_Toc31811700"/>
      <w:bookmarkStart w:id="213" w:name="_Toc31971863"/>
      <w:bookmarkStart w:id="214" w:name="_Toc32230885"/>
      <w:bookmarkStart w:id="215" w:name="_Toc33109784"/>
      <w:bookmarkStart w:id="216" w:name="_Toc33109827"/>
      <w:bookmarkStart w:id="217" w:name="_Toc33180548"/>
      <w:bookmarkStart w:id="218" w:name="_Toc33180642"/>
      <w:bookmarkStart w:id="219" w:name="_Toc33193539"/>
      <w:bookmarkStart w:id="220" w:name="_Toc33193578"/>
      <w:bookmarkStart w:id="221" w:name="_Toc33196775"/>
      <w:bookmarkStart w:id="222" w:name="_Toc40691751"/>
      <w:bookmarkStart w:id="223" w:name="_Toc40959154"/>
      <w:bookmarkStart w:id="224" w:name="_Toc40975988"/>
      <w:bookmarkStart w:id="225" w:name="_Toc40976057"/>
      <w:bookmarkStart w:id="226" w:name="_Toc40993312"/>
      <w:bookmarkStart w:id="227" w:name="_Toc40993694"/>
      <w:bookmarkStart w:id="228" w:name="_Toc41037570"/>
      <w:bookmarkStart w:id="229" w:name="_Toc41254130"/>
      <w:bookmarkStart w:id="230" w:name="_Toc41254162"/>
      <w:bookmarkStart w:id="231" w:name="_Toc41254182"/>
      <w:bookmarkStart w:id="232" w:name="_Toc42023955"/>
      <w:bookmarkStart w:id="233" w:name="_Toc42024008"/>
      <w:bookmarkStart w:id="234" w:name="_Toc42069106"/>
      <w:bookmarkStart w:id="235" w:name="_Toc49422052"/>
      <w:bookmarkStart w:id="236" w:name="_Toc49422078"/>
      <w:bookmarkStart w:id="237" w:name="_Toc49430657"/>
      <w:bookmarkStart w:id="238" w:name="_Toc49430683"/>
      <w:bookmarkStart w:id="239" w:name="_Toc49750460"/>
      <w:bookmarkStart w:id="240" w:name="_Toc49750710"/>
      <w:bookmarkStart w:id="241" w:name="_Toc49750738"/>
      <w:bookmarkStart w:id="242" w:name="_Toc55284824"/>
      <w:bookmarkStart w:id="243" w:name="_Toc55298842"/>
      <w:bookmarkStart w:id="244" w:name="_Toc55373823"/>
      <w:bookmarkStart w:id="245" w:name="_Toc55373996"/>
      <w:bookmarkStart w:id="246" w:name="_Toc55375133"/>
      <w:bookmarkStart w:id="247" w:name="_Toc55396541"/>
      <w:bookmarkStart w:id="248" w:name="_Toc65230537"/>
      <w:bookmarkStart w:id="249" w:name="_Toc65230775"/>
      <w:bookmarkStart w:id="250" w:name="_Toc65232059"/>
      <w:bookmarkStart w:id="251" w:name="_Toc65232304"/>
      <w:bookmarkStart w:id="252" w:name="_Toc66716163"/>
      <w:bookmarkStart w:id="253" w:name="_Toc71097208"/>
      <w:bookmarkStart w:id="254" w:name="_Toc71097239"/>
      <w:bookmarkStart w:id="255" w:name="_Toc71097314"/>
      <w:bookmarkStart w:id="256" w:name="_Toc71108054"/>
      <w:bookmarkStart w:id="257" w:name="_Toc79055248"/>
      <w:bookmarkStart w:id="258" w:name="_Toc79055279"/>
      <w:bookmarkStart w:id="259" w:name="_Toc79060170"/>
      <w:bookmarkStart w:id="260" w:name="_Toc79060457"/>
      <w:bookmarkStart w:id="261" w:name="_Toc81307814"/>
      <w:bookmarkStart w:id="262" w:name="_Toc83376475"/>
      <w:bookmarkStart w:id="263" w:name="_Toc86386714"/>
      <w:bookmarkStart w:id="264" w:name="_Toc86405400"/>
      <w:bookmarkStart w:id="265" w:name="_Toc98162430"/>
      <w:bookmarkStart w:id="266" w:name="_Toc98162462"/>
      <w:bookmarkStart w:id="267" w:name="_Toc98234988"/>
      <w:bookmarkStart w:id="268" w:name="_Toc98235183"/>
      <w:bookmarkStart w:id="269" w:name="_Toc98235268"/>
      <w:bookmarkStart w:id="270" w:name="_Toc98757138"/>
      <w:bookmarkStart w:id="271" w:name="_Toc101874693"/>
      <w:bookmarkStart w:id="272" w:name="_Toc101954149"/>
      <w:bookmarkStart w:id="273" w:name="_Toc101971966"/>
      <w:bookmarkStart w:id="274" w:name="_Toc101974058"/>
      <w:bookmarkStart w:id="275" w:name="_Toc102039743"/>
      <w:bookmarkStart w:id="276" w:name="_Toc102039781"/>
      <w:bookmarkStart w:id="277" w:name="_Toc102039821"/>
      <w:bookmarkStart w:id="278" w:name="_Toc102039852"/>
      <w:bookmarkStart w:id="279" w:name="_Toc102040910"/>
      <w:bookmarkStart w:id="280" w:name="_Toc102477758"/>
      <w:bookmarkStart w:id="281" w:name="_Toc102477789"/>
      <w:bookmarkStart w:id="282" w:name="_Toc109824819"/>
      <w:bookmarkStart w:id="283" w:name="_Toc109828775"/>
      <w:bookmarkStart w:id="284" w:name="_Toc109828838"/>
      <w:bookmarkStart w:id="285" w:name="_Toc109829014"/>
      <w:bookmarkStart w:id="286" w:name="_Toc109829045"/>
      <w:bookmarkStart w:id="287" w:name="_Toc109833889"/>
      <w:bookmarkStart w:id="288" w:name="_Toc110237432"/>
      <w:bookmarkStart w:id="289" w:name="_Toc117775309"/>
      <w:bookmarkStart w:id="290" w:name="_Toc117781278"/>
      <w:bookmarkStart w:id="291" w:name="_Toc125620807"/>
      <w:bookmarkStart w:id="292" w:name="_Toc125620838"/>
      <w:bookmarkStart w:id="293" w:name="_Toc125620869"/>
      <w:bookmarkStart w:id="294" w:name="_Toc125620905"/>
      <w:bookmarkStart w:id="295" w:name="_Toc125620936"/>
      <w:bookmarkStart w:id="296" w:name="_Toc125620969"/>
      <w:bookmarkStart w:id="297" w:name="_Toc125621022"/>
      <w:bookmarkStart w:id="298" w:name="_Toc125621076"/>
      <w:bookmarkStart w:id="299" w:name="_Toc125623554"/>
      <w:bookmarkStart w:id="300" w:name="_Toc125623586"/>
      <w:bookmarkStart w:id="301" w:name="_Toc125623618"/>
      <w:bookmarkStart w:id="302" w:name="_Toc125970364"/>
      <w:bookmarkStart w:id="303" w:name="_Toc125970396"/>
      <w:bookmarkStart w:id="304" w:name="_Toc127365847"/>
      <w:bookmarkStart w:id="305" w:name="_Toc127434599"/>
      <w:bookmarkStart w:id="306" w:name="_Toc127436966"/>
      <w:bookmarkStart w:id="307" w:name="_Toc127437328"/>
      <w:bookmarkStart w:id="308" w:name="_Toc127437681"/>
      <w:bookmarkStart w:id="309" w:name="_Toc135128838"/>
      <w:bookmarkStart w:id="310" w:name="_Toc135128871"/>
      <w:bookmarkStart w:id="311" w:name="_Toc135133711"/>
      <w:bookmarkStart w:id="312" w:name="_Toc135143048"/>
      <w:bookmarkStart w:id="313" w:name="_Toc135819366"/>
      <w:bookmarkStart w:id="314" w:name="_Toc136329483"/>
      <w:bookmarkStart w:id="315" w:name="_Toc136329604"/>
      <w:bookmarkStart w:id="316" w:name="_Toc136611281"/>
      <w:bookmarkStart w:id="317" w:name="_Toc136611326"/>
      <w:bookmarkStart w:id="318" w:name="_Toc136611443"/>
      <w:bookmarkStart w:id="319" w:name="_Toc136611490"/>
      <w:bookmarkStart w:id="320" w:name="_Toc136611578"/>
      <w:bookmarkStart w:id="321" w:name="_Toc139876570"/>
      <w:bookmarkStart w:id="322" w:name="_Toc139876597"/>
      <w:bookmarkStart w:id="323" w:name="_Toc139876847"/>
      <w:bookmarkStart w:id="324" w:name="_Toc139876875"/>
      <w:bookmarkStart w:id="325" w:name="_Toc139876911"/>
      <w:bookmarkStart w:id="326" w:name="_Toc142898567"/>
      <w:bookmarkStart w:id="327" w:name="_Toc143164404"/>
      <w:bookmarkStart w:id="328" w:name="_Toc143164497"/>
      <w:bookmarkStart w:id="329" w:name="_Toc143164525"/>
      <w:bookmarkStart w:id="330" w:name="_Toc143167416"/>
      <w:bookmarkStart w:id="331" w:name="_Toc143170055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</w:p>
    <w:p w14:paraId="41832A88" w14:textId="3707C5DC" w:rsidR="008C0B31" w:rsidRPr="00954142" w:rsidRDefault="008C0B31" w:rsidP="00D66284">
      <w:pPr>
        <w:pStyle w:val="Ttulo1"/>
        <w:numPr>
          <w:ilvl w:val="0"/>
          <w:numId w:val="46"/>
        </w:numPr>
        <w:rPr>
          <w:lang w:val="es-ES_tradnl" w:eastAsia="es-ES"/>
        </w:rPr>
      </w:pPr>
      <w:bookmarkStart w:id="332" w:name="_Toc143170056"/>
      <w:r w:rsidRPr="00954142">
        <w:rPr>
          <w:lang w:val="es-ES_tradnl" w:eastAsia="es-ES"/>
        </w:rPr>
        <w:t>Gasto Público</w:t>
      </w:r>
      <w:bookmarkEnd w:id="332"/>
    </w:p>
    <w:p w14:paraId="02025EE4" w14:textId="123BE5A5" w:rsidR="00770433" w:rsidRPr="00954142" w:rsidRDefault="00770433" w:rsidP="00770433">
      <w:pPr>
        <w:pStyle w:val="Prrafodelista"/>
        <w:keepNext/>
        <w:keepLines/>
        <w:numPr>
          <w:ilvl w:val="0"/>
          <w:numId w:val="12"/>
        </w:numPr>
        <w:spacing w:before="200"/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val="es-ES_tradnl" w:eastAsia="es-ES"/>
        </w:rPr>
      </w:pPr>
      <w:bookmarkStart w:id="333" w:name="_Toc471986932"/>
      <w:bookmarkStart w:id="334" w:name="_Toc471987067"/>
      <w:bookmarkStart w:id="335" w:name="_Toc471987115"/>
      <w:bookmarkStart w:id="336" w:name="_Toc471987137"/>
      <w:bookmarkStart w:id="337" w:name="_Toc472082165"/>
      <w:bookmarkStart w:id="338" w:name="_Toc472082197"/>
      <w:bookmarkStart w:id="339" w:name="_Toc472089913"/>
      <w:bookmarkStart w:id="340" w:name="_Toc472089936"/>
      <w:bookmarkStart w:id="341" w:name="_Toc505346063"/>
      <w:bookmarkStart w:id="342" w:name="_Toc505349878"/>
      <w:bookmarkStart w:id="343" w:name="_Toc534985836"/>
      <w:bookmarkStart w:id="344" w:name="_Toc534988229"/>
      <w:bookmarkStart w:id="345" w:name="_Toc31611549"/>
      <w:bookmarkStart w:id="346" w:name="_Toc31612768"/>
      <w:bookmarkStart w:id="347" w:name="_Toc31612800"/>
      <w:bookmarkStart w:id="348" w:name="_Toc31614826"/>
      <w:bookmarkStart w:id="349" w:name="_Toc31614858"/>
      <w:bookmarkStart w:id="350" w:name="_Toc31618695"/>
      <w:bookmarkStart w:id="351" w:name="_Toc31618728"/>
      <w:bookmarkStart w:id="352" w:name="_Toc31624504"/>
      <w:bookmarkStart w:id="353" w:name="_Toc31625356"/>
      <w:bookmarkStart w:id="354" w:name="_Toc31626811"/>
      <w:bookmarkStart w:id="355" w:name="_Toc31811262"/>
      <w:bookmarkStart w:id="356" w:name="_Toc31811707"/>
      <w:bookmarkStart w:id="357" w:name="_Toc31971870"/>
      <w:bookmarkStart w:id="358" w:name="_Toc32230892"/>
      <w:bookmarkStart w:id="359" w:name="_Toc33109788"/>
      <w:bookmarkStart w:id="360" w:name="_Toc33109831"/>
      <w:bookmarkStart w:id="361" w:name="_Toc33180552"/>
      <w:bookmarkStart w:id="362" w:name="_Toc33180646"/>
      <w:bookmarkStart w:id="363" w:name="_Toc33193543"/>
      <w:bookmarkStart w:id="364" w:name="_Toc33193582"/>
      <w:bookmarkStart w:id="365" w:name="_Toc33196779"/>
      <w:bookmarkStart w:id="366" w:name="_Toc40691755"/>
      <w:bookmarkStart w:id="367" w:name="_Toc40959156"/>
      <w:bookmarkStart w:id="368" w:name="_Toc40975990"/>
      <w:bookmarkStart w:id="369" w:name="_Toc40976059"/>
      <w:bookmarkStart w:id="370" w:name="_Toc40993314"/>
      <w:bookmarkStart w:id="371" w:name="_Toc40993696"/>
      <w:bookmarkStart w:id="372" w:name="_Toc41037572"/>
      <w:bookmarkStart w:id="373" w:name="_Toc41254132"/>
      <w:bookmarkStart w:id="374" w:name="_Toc41254164"/>
      <w:bookmarkStart w:id="375" w:name="_Toc41254184"/>
      <w:bookmarkStart w:id="376" w:name="_Toc42023958"/>
      <w:bookmarkStart w:id="377" w:name="_Toc42024010"/>
      <w:bookmarkStart w:id="378" w:name="_Toc42069108"/>
      <w:bookmarkStart w:id="379" w:name="_Toc49422054"/>
      <w:bookmarkStart w:id="380" w:name="_Toc49422080"/>
      <w:bookmarkStart w:id="381" w:name="_Toc49430659"/>
      <w:bookmarkStart w:id="382" w:name="_Toc49430685"/>
      <w:bookmarkStart w:id="383" w:name="_Toc49750462"/>
      <w:bookmarkStart w:id="384" w:name="_Toc49750712"/>
      <w:bookmarkStart w:id="385" w:name="_Toc49750740"/>
      <w:bookmarkStart w:id="386" w:name="_Toc55284826"/>
      <w:bookmarkStart w:id="387" w:name="_Toc55298844"/>
      <w:bookmarkStart w:id="388" w:name="_Toc55373825"/>
      <w:bookmarkStart w:id="389" w:name="_Toc55373998"/>
      <w:bookmarkStart w:id="390" w:name="_Toc55375135"/>
      <w:bookmarkStart w:id="391" w:name="_Toc55396543"/>
      <w:bookmarkStart w:id="392" w:name="_Toc65230539"/>
      <w:bookmarkStart w:id="393" w:name="_Toc65230777"/>
      <w:bookmarkStart w:id="394" w:name="_Toc65232061"/>
      <w:bookmarkStart w:id="395" w:name="_Toc65232306"/>
      <w:bookmarkStart w:id="396" w:name="_Toc66716165"/>
      <w:bookmarkStart w:id="397" w:name="_Toc71097210"/>
      <w:bookmarkStart w:id="398" w:name="_Toc71097241"/>
      <w:bookmarkStart w:id="399" w:name="_Toc71097316"/>
      <w:bookmarkStart w:id="400" w:name="_Toc71108056"/>
      <w:bookmarkStart w:id="401" w:name="_Toc79055250"/>
      <w:bookmarkStart w:id="402" w:name="_Toc79055281"/>
      <w:bookmarkStart w:id="403" w:name="_Toc79060172"/>
      <w:bookmarkStart w:id="404" w:name="_Toc79060459"/>
      <w:bookmarkStart w:id="405" w:name="_Toc81307816"/>
      <w:bookmarkStart w:id="406" w:name="_Toc83376477"/>
      <w:bookmarkStart w:id="407" w:name="_Toc86386716"/>
      <w:bookmarkStart w:id="408" w:name="_Toc86405402"/>
      <w:bookmarkStart w:id="409" w:name="_Toc98162432"/>
      <w:bookmarkStart w:id="410" w:name="_Toc98162464"/>
      <w:bookmarkStart w:id="411" w:name="_Toc98234990"/>
      <w:bookmarkStart w:id="412" w:name="_Toc98235185"/>
      <w:bookmarkStart w:id="413" w:name="_Toc98235270"/>
      <w:bookmarkStart w:id="414" w:name="_Toc98757140"/>
      <w:bookmarkStart w:id="415" w:name="_Toc101874695"/>
      <w:bookmarkStart w:id="416" w:name="_Toc101954151"/>
      <w:bookmarkStart w:id="417" w:name="_Toc101971968"/>
      <w:bookmarkStart w:id="418" w:name="_Toc101974060"/>
      <w:bookmarkStart w:id="419" w:name="_Toc102039745"/>
      <w:bookmarkStart w:id="420" w:name="_Toc102039783"/>
      <w:bookmarkStart w:id="421" w:name="_Toc102039823"/>
      <w:bookmarkStart w:id="422" w:name="_Toc102039854"/>
      <w:bookmarkStart w:id="423" w:name="_Toc102040912"/>
      <w:bookmarkStart w:id="424" w:name="_Toc102477760"/>
      <w:bookmarkStart w:id="425" w:name="_Toc102477791"/>
      <w:bookmarkStart w:id="426" w:name="_Toc109824821"/>
      <w:bookmarkStart w:id="427" w:name="_Toc109828777"/>
      <w:bookmarkStart w:id="428" w:name="_Toc109828840"/>
      <w:bookmarkStart w:id="429" w:name="_Toc109829016"/>
      <w:bookmarkStart w:id="430" w:name="_Toc109829047"/>
      <w:bookmarkStart w:id="431" w:name="_Toc109833891"/>
      <w:bookmarkStart w:id="432" w:name="_Toc110237434"/>
      <w:bookmarkStart w:id="433" w:name="_Toc117775311"/>
      <w:bookmarkStart w:id="434" w:name="_Toc117781280"/>
      <w:bookmarkStart w:id="435" w:name="_Toc125620809"/>
      <w:bookmarkStart w:id="436" w:name="_Toc125620840"/>
      <w:bookmarkStart w:id="437" w:name="_Toc125620871"/>
      <w:bookmarkStart w:id="438" w:name="_Toc125620907"/>
      <w:bookmarkStart w:id="439" w:name="_Toc125620938"/>
      <w:bookmarkStart w:id="440" w:name="_Toc125620971"/>
      <w:bookmarkStart w:id="441" w:name="_Toc125621024"/>
      <w:bookmarkStart w:id="442" w:name="_Toc125621078"/>
      <w:bookmarkStart w:id="443" w:name="_Toc125623556"/>
      <w:bookmarkStart w:id="444" w:name="_Toc125623588"/>
      <w:bookmarkStart w:id="445" w:name="_Toc125623620"/>
      <w:bookmarkStart w:id="446" w:name="_Toc125970366"/>
      <w:bookmarkStart w:id="447" w:name="_Toc125970398"/>
      <w:bookmarkStart w:id="448" w:name="_Toc127365849"/>
      <w:bookmarkStart w:id="449" w:name="_Toc127434601"/>
      <w:bookmarkStart w:id="450" w:name="_Toc127436968"/>
      <w:bookmarkStart w:id="451" w:name="_Toc127437330"/>
      <w:bookmarkStart w:id="452" w:name="_Toc127437683"/>
      <w:bookmarkStart w:id="453" w:name="_Toc135128840"/>
      <w:bookmarkStart w:id="454" w:name="_Toc135128873"/>
      <w:bookmarkStart w:id="455" w:name="_Toc135133713"/>
      <w:bookmarkStart w:id="456" w:name="_Toc135143050"/>
      <w:bookmarkStart w:id="457" w:name="_Toc135819368"/>
      <w:bookmarkStart w:id="458" w:name="_Toc136329485"/>
      <w:bookmarkStart w:id="459" w:name="_Toc136329606"/>
      <w:bookmarkStart w:id="460" w:name="_Toc136611283"/>
      <w:bookmarkStart w:id="461" w:name="_Toc136611328"/>
      <w:bookmarkStart w:id="462" w:name="_Toc136611445"/>
      <w:bookmarkStart w:id="463" w:name="_Toc136611492"/>
      <w:bookmarkStart w:id="464" w:name="_Toc136611580"/>
      <w:bookmarkStart w:id="465" w:name="_Toc139876572"/>
      <w:bookmarkStart w:id="466" w:name="_Toc139876599"/>
      <w:bookmarkStart w:id="467" w:name="_Toc139876849"/>
      <w:bookmarkStart w:id="468" w:name="_Toc139876877"/>
      <w:bookmarkStart w:id="469" w:name="_Toc139876913"/>
      <w:bookmarkStart w:id="470" w:name="_Toc142898569"/>
      <w:bookmarkStart w:id="471" w:name="_Toc143164406"/>
      <w:bookmarkStart w:id="472" w:name="_Toc143164499"/>
      <w:bookmarkStart w:id="473" w:name="_Toc143164527"/>
      <w:bookmarkStart w:id="474" w:name="_Toc143167418"/>
      <w:bookmarkStart w:id="475" w:name="_Toc143170057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14:paraId="2FFEEFA0" w14:textId="77777777" w:rsidR="00770433" w:rsidRPr="00954142" w:rsidRDefault="00770433" w:rsidP="00770433">
      <w:pPr>
        <w:pStyle w:val="Prrafodelista"/>
        <w:keepNext/>
        <w:keepLines/>
        <w:numPr>
          <w:ilvl w:val="0"/>
          <w:numId w:val="12"/>
        </w:numPr>
        <w:spacing w:before="200"/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val="es-ES_tradnl" w:eastAsia="es-ES"/>
        </w:rPr>
      </w:pPr>
      <w:bookmarkStart w:id="476" w:name="_Toc472082166"/>
      <w:bookmarkStart w:id="477" w:name="_Toc472082198"/>
      <w:bookmarkStart w:id="478" w:name="_Toc472089914"/>
      <w:bookmarkStart w:id="479" w:name="_Toc472089937"/>
      <w:bookmarkStart w:id="480" w:name="_Toc505346064"/>
      <w:bookmarkStart w:id="481" w:name="_Toc505349879"/>
      <w:bookmarkStart w:id="482" w:name="_Toc534985837"/>
      <w:bookmarkStart w:id="483" w:name="_Toc534988230"/>
      <w:bookmarkStart w:id="484" w:name="_Toc31611550"/>
      <w:bookmarkStart w:id="485" w:name="_Toc31612769"/>
      <w:bookmarkStart w:id="486" w:name="_Toc31612801"/>
      <w:bookmarkStart w:id="487" w:name="_Toc31614827"/>
      <w:bookmarkStart w:id="488" w:name="_Toc31614859"/>
      <w:bookmarkStart w:id="489" w:name="_Toc31618696"/>
      <w:bookmarkStart w:id="490" w:name="_Toc31618729"/>
      <w:bookmarkStart w:id="491" w:name="_Toc31624505"/>
      <w:bookmarkStart w:id="492" w:name="_Toc31625357"/>
      <w:bookmarkStart w:id="493" w:name="_Toc31626812"/>
      <w:bookmarkStart w:id="494" w:name="_Toc31811263"/>
      <w:bookmarkStart w:id="495" w:name="_Toc31811708"/>
      <w:bookmarkStart w:id="496" w:name="_Toc31971871"/>
      <w:bookmarkStart w:id="497" w:name="_Toc32230893"/>
      <w:bookmarkStart w:id="498" w:name="_Toc33109789"/>
      <w:bookmarkStart w:id="499" w:name="_Toc33109832"/>
      <w:bookmarkStart w:id="500" w:name="_Toc33180553"/>
      <w:bookmarkStart w:id="501" w:name="_Toc33180647"/>
      <w:bookmarkStart w:id="502" w:name="_Toc33193544"/>
      <w:bookmarkStart w:id="503" w:name="_Toc33193583"/>
      <w:bookmarkStart w:id="504" w:name="_Toc33196780"/>
      <w:bookmarkStart w:id="505" w:name="_Toc40691756"/>
      <w:bookmarkStart w:id="506" w:name="_Toc40959157"/>
      <w:bookmarkStart w:id="507" w:name="_Toc40975991"/>
      <w:bookmarkStart w:id="508" w:name="_Toc40976060"/>
      <w:bookmarkStart w:id="509" w:name="_Toc40993315"/>
      <w:bookmarkStart w:id="510" w:name="_Toc40993697"/>
      <w:bookmarkStart w:id="511" w:name="_Toc41037573"/>
      <w:bookmarkStart w:id="512" w:name="_Toc41254133"/>
      <w:bookmarkStart w:id="513" w:name="_Toc41254165"/>
      <w:bookmarkStart w:id="514" w:name="_Toc41254185"/>
      <w:bookmarkStart w:id="515" w:name="_Toc42023959"/>
      <w:bookmarkStart w:id="516" w:name="_Toc42024011"/>
      <w:bookmarkStart w:id="517" w:name="_Toc42069109"/>
      <w:bookmarkStart w:id="518" w:name="_Toc49422055"/>
      <w:bookmarkStart w:id="519" w:name="_Toc49422081"/>
      <w:bookmarkStart w:id="520" w:name="_Toc49430660"/>
      <w:bookmarkStart w:id="521" w:name="_Toc49430686"/>
      <w:bookmarkStart w:id="522" w:name="_Toc49750463"/>
      <w:bookmarkStart w:id="523" w:name="_Toc49750713"/>
      <w:bookmarkStart w:id="524" w:name="_Toc49750741"/>
      <w:bookmarkStart w:id="525" w:name="_Toc55284827"/>
      <w:bookmarkStart w:id="526" w:name="_Toc55298845"/>
      <w:bookmarkStart w:id="527" w:name="_Toc55373826"/>
      <w:bookmarkStart w:id="528" w:name="_Toc55373999"/>
      <w:bookmarkStart w:id="529" w:name="_Toc55375136"/>
      <w:bookmarkStart w:id="530" w:name="_Toc55396544"/>
      <w:bookmarkStart w:id="531" w:name="_Toc65230540"/>
      <w:bookmarkStart w:id="532" w:name="_Toc65230778"/>
      <w:bookmarkStart w:id="533" w:name="_Toc65232062"/>
      <w:bookmarkStart w:id="534" w:name="_Toc65232307"/>
      <w:bookmarkStart w:id="535" w:name="_Toc66716166"/>
      <w:bookmarkStart w:id="536" w:name="_Toc71097211"/>
      <w:bookmarkStart w:id="537" w:name="_Toc71097242"/>
      <w:bookmarkStart w:id="538" w:name="_Toc71097317"/>
      <w:bookmarkStart w:id="539" w:name="_Toc71108057"/>
      <w:bookmarkStart w:id="540" w:name="_Toc79055251"/>
      <w:bookmarkStart w:id="541" w:name="_Toc79055282"/>
      <w:bookmarkStart w:id="542" w:name="_Toc79060173"/>
      <w:bookmarkStart w:id="543" w:name="_Toc79060460"/>
      <w:bookmarkStart w:id="544" w:name="_Toc81307817"/>
      <w:bookmarkStart w:id="545" w:name="_Toc83376478"/>
      <w:bookmarkStart w:id="546" w:name="_Toc86386717"/>
      <w:bookmarkStart w:id="547" w:name="_Toc86405403"/>
      <w:bookmarkStart w:id="548" w:name="_Toc98162433"/>
      <w:bookmarkStart w:id="549" w:name="_Toc98162465"/>
      <w:bookmarkStart w:id="550" w:name="_Toc98234991"/>
      <w:bookmarkStart w:id="551" w:name="_Toc98235186"/>
      <w:bookmarkStart w:id="552" w:name="_Toc98235271"/>
      <w:bookmarkStart w:id="553" w:name="_Toc98757141"/>
      <w:bookmarkStart w:id="554" w:name="_Toc101874696"/>
      <w:bookmarkStart w:id="555" w:name="_Toc101954152"/>
      <w:bookmarkStart w:id="556" w:name="_Toc101971969"/>
      <w:bookmarkStart w:id="557" w:name="_Toc101974061"/>
      <w:bookmarkStart w:id="558" w:name="_Toc102039746"/>
      <w:bookmarkStart w:id="559" w:name="_Toc102039784"/>
      <w:bookmarkStart w:id="560" w:name="_Toc102039824"/>
      <w:bookmarkStart w:id="561" w:name="_Toc102039855"/>
      <w:bookmarkStart w:id="562" w:name="_Toc102040913"/>
      <w:bookmarkStart w:id="563" w:name="_Toc102477761"/>
      <w:bookmarkStart w:id="564" w:name="_Toc102477792"/>
      <w:bookmarkStart w:id="565" w:name="_Toc109824822"/>
      <w:bookmarkStart w:id="566" w:name="_Toc109828778"/>
      <w:bookmarkStart w:id="567" w:name="_Toc109828841"/>
      <w:bookmarkStart w:id="568" w:name="_Toc109829017"/>
      <w:bookmarkStart w:id="569" w:name="_Toc109829048"/>
      <w:bookmarkStart w:id="570" w:name="_Toc109833892"/>
      <w:bookmarkStart w:id="571" w:name="_Toc110237435"/>
      <w:bookmarkStart w:id="572" w:name="_Toc117775312"/>
      <w:bookmarkStart w:id="573" w:name="_Toc117781281"/>
      <w:bookmarkStart w:id="574" w:name="_Toc125620810"/>
      <w:bookmarkStart w:id="575" w:name="_Toc125620841"/>
      <w:bookmarkStart w:id="576" w:name="_Toc125620872"/>
      <w:bookmarkStart w:id="577" w:name="_Toc125620908"/>
      <w:bookmarkStart w:id="578" w:name="_Toc125620939"/>
      <w:bookmarkStart w:id="579" w:name="_Toc125620972"/>
      <w:bookmarkStart w:id="580" w:name="_Toc125621025"/>
      <w:bookmarkStart w:id="581" w:name="_Toc125621079"/>
      <w:bookmarkStart w:id="582" w:name="_Toc125623557"/>
      <w:bookmarkStart w:id="583" w:name="_Toc125623589"/>
      <w:bookmarkStart w:id="584" w:name="_Toc125623621"/>
      <w:bookmarkStart w:id="585" w:name="_Toc125970367"/>
      <w:bookmarkStart w:id="586" w:name="_Toc125970399"/>
      <w:bookmarkStart w:id="587" w:name="_Toc127365850"/>
      <w:bookmarkStart w:id="588" w:name="_Toc127434602"/>
      <w:bookmarkStart w:id="589" w:name="_Toc127436969"/>
      <w:bookmarkStart w:id="590" w:name="_Toc127437331"/>
      <w:bookmarkStart w:id="591" w:name="_Toc127437684"/>
      <w:bookmarkStart w:id="592" w:name="_Toc135128841"/>
      <w:bookmarkStart w:id="593" w:name="_Toc135128874"/>
      <w:bookmarkStart w:id="594" w:name="_Toc135133714"/>
      <w:bookmarkStart w:id="595" w:name="_Toc135143051"/>
      <w:bookmarkStart w:id="596" w:name="_Toc135819369"/>
      <w:bookmarkStart w:id="597" w:name="_Toc136329486"/>
      <w:bookmarkStart w:id="598" w:name="_Toc136329607"/>
      <w:bookmarkStart w:id="599" w:name="_Toc136611284"/>
      <w:bookmarkStart w:id="600" w:name="_Toc136611329"/>
      <w:bookmarkStart w:id="601" w:name="_Toc136611446"/>
      <w:bookmarkStart w:id="602" w:name="_Toc136611493"/>
      <w:bookmarkStart w:id="603" w:name="_Toc136611581"/>
      <w:bookmarkStart w:id="604" w:name="_Toc139876573"/>
      <w:bookmarkStart w:id="605" w:name="_Toc139876600"/>
      <w:bookmarkStart w:id="606" w:name="_Toc139876850"/>
      <w:bookmarkStart w:id="607" w:name="_Toc139876878"/>
      <w:bookmarkStart w:id="608" w:name="_Toc139876914"/>
      <w:bookmarkStart w:id="609" w:name="_Toc142898570"/>
      <w:bookmarkStart w:id="610" w:name="_Toc143164407"/>
      <w:bookmarkStart w:id="611" w:name="_Toc143164500"/>
      <w:bookmarkStart w:id="612" w:name="_Toc143164528"/>
      <w:bookmarkStart w:id="613" w:name="_Toc143167419"/>
      <w:bookmarkStart w:id="614" w:name="_Toc143170058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</w:p>
    <w:p w14:paraId="0F095CD4" w14:textId="77777777" w:rsidR="005E3A61" w:rsidRPr="00954142" w:rsidRDefault="005E3A61" w:rsidP="005E3A61">
      <w:pPr>
        <w:pStyle w:val="Prrafodelista"/>
        <w:keepNext/>
        <w:keepLines/>
        <w:numPr>
          <w:ilvl w:val="0"/>
          <w:numId w:val="11"/>
        </w:numPr>
        <w:tabs>
          <w:tab w:val="left" w:pos="426"/>
        </w:tabs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eastAsia="es-ES"/>
        </w:rPr>
      </w:pPr>
      <w:bookmarkStart w:id="615" w:name="_Toc127437685"/>
      <w:bookmarkStart w:id="616" w:name="_Toc135128842"/>
      <w:bookmarkStart w:id="617" w:name="_Toc135128875"/>
      <w:bookmarkStart w:id="618" w:name="_Toc135133715"/>
      <w:bookmarkStart w:id="619" w:name="_Toc135143052"/>
      <w:bookmarkStart w:id="620" w:name="_Toc135819370"/>
      <w:bookmarkStart w:id="621" w:name="_Toc136329487"/>
      <w:bookmarkStart w:id="622" w:name="_Toc136329608"/>
      <w:bookmarkStart w:id="623" w:name="_Toc136611285"/>
      <w:bookmarkStart w:id="624" w:name="_Toc136611330"/>
      <w:bookmarkStart w:id="625" w:name="_Toc136611447"/>
      <w:bookmarkStart w:id="626" w:name="_Toc136611494"/>
      <w:bookmarkStart w:id="627" w:name="_Toc136611582"/>
      <w:bookmarkStart w:id="628" w:name="_Toc139876574"/>
      <w:bookmarkStart w:id="629" w:name="_Toc139876601"/>
      <w:bookmarkStart w:id="630" w:name="_Toc139876851"/>
      <w:bookmarkStart w:id="631" w:name="_Toc139876879"/>
      <w:bookmarkStart w:id="632" w:name="_Toc139876915"/>
      <w:bookmarkStart w:id="633" w:name="_Toc142898571"/>
      <w:bookmarkStart w:id="634" w:name="_Toc143164408"/>
      <w:bookmarkStart w:id="635" w:name="_Toc125970400"/>
      <w:bookmarkStart w:id="636" w:name="_Toc143164501"/>
      <w:bookmarkStart w:id="637" w:name="_Toc143164529"/>
      <w:bookmarkStart w:id="638" w:name="_Toc143167420"/>
      <w:bookmarkStart w:id="639" w:name="_Toc143170059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6"/>
      <w:bookmarkEnd w:id="637"/>
      <w:bookmarkEnd w:id="638"/>
      <w:bookmarkEnd w:id="639"/>
    </w:p>
    <w:p w14:paraId="44FA4352" w14:textId="7958C1D3" w:rsidR="008F703E" w:rsidRPr="00954142" w:rsidRDefault="005022F8" w:rsidP="005E3A61">
      <w:pPr>
        <w:pStyle w:val="Ttulo2"/>
        <w:numPr>
          <w:ilvl w:val="1"/>
          <w:numId w:val="11"/>
        </w:numPr>
        <w:tabs>
          <w:tab w:val="left" w:pos="426"/>
        </w:tabs>
        <w:spacing w:before="0"/>
        <w:rPr>
          <w:rFonts w:cs="Times New Roman"/>
          <w:sz w:val="22"/>
          <w:szCs w:val="22"/>
        </w:rPr>
      </w:pPr>
      <w:bookmarkStart w:id="640" w:name="_Toc143170060"/>
      <w:r w:rsidRPr="00954142">
        <w:rPr>
          <w:rFonts w:cs="Times New Roman"/>
          <w:sz w:val="22"/>
          <w:szCs w:val="22"/>
        </w:rPr>
        <w:t xml:space="preserve">El </w:t>
      </w:r>
      <w:r w:rsidR="00471E12" w:rsidRPr="00954142">
        <w:rPr>
          <w:rFonts w:cs="Times New Roman"/>
          <w:sz w:val="22"/>
          <w:szCs w:val="22"/>
        </w:rPr>
        <w:t>Gasto</w:t>
      </w:r>
      <w:bookmarkEnd w:id="635"/>
      <w:r w:rsidRPr="00954142">
        <w:rPr>
          <w:rFonts w:cs="Times New Roman"/>
          <w:sz w:val="22"/>
          <w:szCs w:val="22"/>
        </w:rPr>
        <w:t xml:space="preserve"> </w:t>
      </w:r>
      <w:r w:rsidR="00574409">
        <w:rPr>
          <w:rFonts w:cs="Times New Roman"/>
          <w:sz w:val="22"/>
          <w:szCs w:val="22"/>
        </w:rPr>
        <w:t>se desacelera</w:t>
      </w:r>
      <w:r w:rsidR="00C6583A">
        <w:rPr>
          <w:rFonts w:cs="Times New Roman"/>
          <w:sz w:val="22"/>
          <w:szCs w:val="22"/>
        </w:rPr>
        <w:t xml:space="preserve"> en el segundo trimestre</w:t>
      </w:r>
      <w:bookmarkEnd w:id="640"/>
    </w:p>
    <w:p w14:paraId="24084180" w14:textId="229122BF" w:rsidR="00F2787A" w:rsidRDefault="004A37E3" w:rsidP="00B67B8F">
      <w:r w:rsidRPr="00954142">
        <w:rPr>
          <w:rFonts w:cs="Times New Roman"/>
          <w:noProof/>
          <w:lang w:eastAsia="es-GT"/>
        </w:rPr>
        <w:drawing>
          <wp:anchor distT="0" distB="0" distL="114300" distR="114300" simplePos="0" relativeHeight="251658250" behindDoc="0" locked="0" layoutInCell="1" allowOverlap="1" wp14:anchorId="2B423354" wp14:editId="445629E6">
            <wp:simplePos x="0" y="0"/>
            <wp:positionH relativeFrom="margin">
              <wp:align>right</wp:align>
            </wp:positionH>
            <wp:positionV relativeFrom="paragraph">
              <wp:posOffset>910590</wp:posOffset>
            </wp:positionV>
            <wp:extent cx="2914650" cy="2603500"/>
            <wp:effectExtent l="0" t="0" r="0" b="6350"/>
            <wp:wrapSquare wrapText="bothSides"/>
            <wp:docPr id="484609782" name="Gráfico 4846097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="00640A23" w:rsidRPr="00954142">
        <w:rPr>
          <w:rFonts w:eastAsiaTheme="majorEastAsia"/>
          <w:noProof/>
          <w:lang w:eastAsia="es-GT"/>
        </w:rPr>
        <w:drawing>
          <wp:anchor distT="0" distB="0" distL="114300" distR="114300" simplePos="0" relativeHeight="251658246" behindDoc="0" locked="0" layoutInCell="1" allowOverlap="1" wp14:anchorId="1F3CC1E1" wp14:editId="6F2CC72E">
            <wp:simplePos x="0" y="0"/>
            <wp:positionH relativeFrom="margin">
              <wp:posOffset>3018714</wp:posOffset>
            </wp:positionH>
            <wp:positionV relativeFrom="paragraph">
              <wp:posOffset>108651</wp:posOffset>
            </wp:positionV>
            <wp:extent cx="2924810" cy="741045"/>
            <wp:effectExtent l="57150" t="38100" r="123190" b="97155"/>
            <wp:wrapSquare wrapText="bothSides"/>
            <wp:docPr id="819797958" name="Diagrama 8197979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409">
        <w:t>Al finali</w:t>
      </w:r>
      <w:r w:rsidR="00E81895">
        <w:t xml:space="preserve">zar el segundo </w:t>
      </w:r>
      <w:r w:rsidR="00EF70F1">
        <w:t>trimestre del año</w:t>
      </w:r>
      <w:r w:rsidR="00E81895">
        <w:t>,</w:t>
      </w:r>
      <w:r w:rsidR="00647C1C" w:rsidRPr="00954142">
        <w:t xml:space="preserve"> </w:t>
      </w:r>
      <w:r w:rsidR="00E81895">
        <w:t>el gasto del gobierno general</w:t>
      </w:r>
      <w:r w:rsidR="00647C1C" w:rsidRPr="00954142">
        <w:t xml:space="preserve"> </w:t>
      </w:r>
      <w:r w:rsidR="003D4548">
        <w:t xml:space="preserve">fue de </w:t>
      </w:r>
      <w:r w:rsidR="00FF44DB" w:rsidRPr="00954142">
        <w:t>Q</w:t>
      </w:r>
      <w:r w:rsidR="00311B57" w:rsidRPr="00311B57">
        <w:t xml:space="preserve">56,795.3 </w:t>
      </w:r>
      <w:r w:rsidR="00FF44DB" w:rsidRPr="00954142">
        <w:t>millones</w:t>
      </w:r>
      <w:r w:rsidR="004F4E85">
        <w:t>,</w:t>
      </w:r>
      <w:r w:rsidR="00C06BAA">
        <w:t xml:space="preserve"> </w:t>
      </w:r>
      <w:r w:rsidR="00311B57">
        <w:t>mostrando una tasa</w:t>
      </w:r>
      <w:r w:rsidR="00C06BAA">
        <w:t xml:space="preserve"> </w:t>
      </w:r>
      <w:r w:rsidR="00311B57">
        <w:t xml:space="preserve">de </w:t>
      </w:r>
      <w:r w:rsidR="00FF44DB" w:rsidRPr="00954142">
        <w:t>crecimiento del 1</w:t>
      </w:r>
      <w:r w:rsidR="00311B57">
        <w:t>7</w:t>
      </w:r>
      <w:r w:rsidR="00C06BAA">
        <w:t>.</w:t>
      </w:r>
      <w:r w:rsidR="00311B57">
        <w:t>9</w:t>
      </w:r>
      <w:r w:rsidR="00FF44DB" w:rsidRPr="00954142">
        <w:t>%</w:t>
      </w:r>
      <w:r w:rsidR="0075095C" w:rsidRPr="00954142">
        <w:t xml:space="preserve"> (</w:t>
      </w:r>
      <w:r w:rsidR="00C06BAA">
        <w:t>Q</w:t>
      </w:r>
      <w:r w:rsidR="00603B62">
        <w:t>8,611.3</w:t>
      </w:r>
      <w:r w:rsidR="00060974">
        <w:t xml:space="preserve"> millones</w:t>
      </w:r>
      <w:r w:rsidR="00C06BAA">
        <w:t>)</w:t>
      </w:r>
      <w:r w:rsidR="004F4E85">
        <w:t>,</w:t>
      </w:r>
      <w:r w:rsidR="00060974">
        <w:t xml:space="preserve"> </w:t>
      </w:r>
      <w:r w:rsidR="004F4E85">
        <w:t>esta</w:t>
      </w:r>
      <w:r w:rsidR="00060974">
        <w:t xml:space="preserve"> </w:t>
      </w:r>
      <w:r w:rsidR="00F2787A">
        <w:t>continúa</w:t>
      </w:r>
      <w:r w:rsidR="00603B62">
        <w:t xml:space="preserve"> mostrando un mayor dinamismo respecto al </w:t>
      </w:r>
      <w:r w:rsidR="00060974">
        <w:t>mismo periodo de</w:t>
      </w:r>
      <w:r w:rsidR="0006610F">
        <w:t xml:space="preserve">l año previo </w:t>
      </w:r>
      <w:r w:rsidR="00603B62">
        <w:t xml:space="preserve">que </w:t>
      </w:r>
      <w:r w:rsidR="003D4548">
        <w:t>tenía</w:t>
      </w:r>
      <w:r w:rsidR="00603B62">
        <w:t xml:space="preserve"> </w:t>
      </w:r>
      <w:r w:rsidR="00327094">
        <w:t>un crecimiento</w:t>
      </w:r>
      <w:r w:rsidR="00603B62">
        <w:t xml:space="preserve"> del 12.5% (Q</w:t>
      </w:r>
      <w:r w:rsidR="003D4548" w:rsidRPr="003D4548">
        <w:t>5,362.3</w:t>
      </w:r>
      <w:r w:rsidR="003D4548">
        <w:t xml:space="preserve"> millones)</w:t>
      </w:r>
      <w:r w:rsidR="0006610F">
        <w:t xml:space="preserve">, sin embargo, </w:t>
      </w:r>
      <w:r w:rsidR="003662A2">
        <w:t xml:space="preserve">en mayo y junio </w:t>
      </w:r>
      <w:r w:rsidR="0006610F">
        <w:t xml:space="preserve">se observa una desaceleración en su ritmo respecto </w:t>
      </w:r>
      <w:r w:rsidR="00EE3B9B">
        <w:t>a</w:t>
      </w:r>
      <w:r w:rsidR="00F2787A">
        <w:t xml:space="preserve">l comportamiento </w:t>
      </w:r>
      <w:r w:rsidR="00EE3B9B">
        <w:t xml:space="preserve">observado en </w:t>
      </w:r>
      <w:r w:rsidR="003662A2">
        <w:t>los meses de enero a abril</w:t>
      </w:r>
      <w:r w:rsidR="00E744AB" w:rsidRPr="00954142">
        <w:t>.</w:t>
      </w:r>
    </w:p>
    <w:p w14:paraId="0A285330" w14:textId="79CE945E" w:rsidR="000A65D1" w:rsidRPr="00954142" w:rsidRDefault="001C7D68" w:rsidP="00B67B8F">
      <w:r>
        <w:t>E</w:t>
      </w:r>
      <w:r w:rsidR="00B53097" w:rsidRPr="00954142">
        <w:t xml:space="preserve">l gobierno central presupuestario </w:t>
      </w:r>
      <w:r w:rsidR="004A37E3">
        <w:t xml:space="preserve">ha sido el que </w:t>
      </w:r>
      <w:r w:rsidR="00A4430C">
        <w:t xml:space="preserve">ha </w:t>
      </w:r>
      <w:r w:rsidR="004A37E3">
        <w:t>ejecuta</w:t>
      </w:r>
      <w:r w:rsidR="00A4430C">
        <w:t>do</w:t>
      </w:r>
      <w:r w:rsidR="004A37E3">
        <w:t xml:space="preserve"> </w:t>
      </w:r>
      <w:r w:rsidR="00B72C21" w:rsidRPr="00954142">
        <w:t>el</w:t>
      </w:r>
      <w:r w:rsidR="00A4430C">
        <w:t xml:space="preserve"> </w:t>
      </w:r>
      <w:r w:rsidR="008362CC">
        <w:t>6</w:t>
      </w:r>
      <w:r w:rsidR="003664F5">
        <w:t>7</w:t>
      </w:r>
      <w:r w:rsidR="00327094">
        <w:t>.</w:t>
      </w:r>
      <w:r w:rsidR="003664F5">
        <w:t>5</w:t>
      </w:r>
      <w:r w:rsidR="008362CC">
        <w:t>%</w:t>
      </w:r>
      <w:r w:rsidR="0012614D" w:rsidRPr="00954142">
        <w:t xml:space="preserve"> del gasto consolidado</w:t>
      </w:r>
      <w:r w:rsidR="00B83023" w:rsidRPr="00954142">
        <w:t xml:space="preserve"> (sin incluir operaciones recíprocas) </w:t>
      </w:r>
      <w:r w:rsidR="0012614D" w:rsidRPr="00954142">
        <w:t>del gobierno general</w:t>
      </w:r>
      <w:r w:rsidR="00E04815">
        <w:t>,</w:t>
      </w:r>
      <w:r w:rsidR="0012614D" w:rsidRPr="00954142">
        <w:t xml:space="preserve"> </w:t>
      </w:r>
      <w:r w:rsidR="002B3432">
        <w:t>el gobierno central</w:t>
      </w:r>
      <w:r w:rsidR="00242463" w:rsidRPr="00954142">
        <w:t xml:space="preserve"> extrapresupuestari</w:t>
      </w:r>
      <w:r w:rsidR="004F4E85">
        <w:t>o</w:t>
      </w:r>
      <w:r w:rsidR="00242463" w:rsidRPr="00954142">
        <w:t xml:space="preserve"> el 1</w:t>
      </w:r>
      <w:r w:rsidR="003E25B5">
        <w:t>3</w:t>
      </w:r>
      <w:r w:rsidR="002B3432">
        <w:t>.</w:t>
      </w:r>
      <w:r w:rsidR="00AC542B">
        <w:t>7</w:t>
      </w:r>
      <w:r w:rsidR="00242463" w:rsidRPr="00954142">
        <w:t>%, los</w:t>
      </w:r>
      <w:r w:rsidR="005C31A2" w:rsidRPr="00954142">
        <w:t xml:space="preserve"> fondos de seguridad social el 1</w:t>
      </w:r>
      <w:r w:rsidR="00AC542B">
        <w:t>3.0</w:t>
      </w:r>
      <w:r w:rsidR="005C31A2" w:rsidRPr="00954142">
        <w:t xml:space="preserve">% y los gobiernos locales el </w:t>
      </w:r>
      <w:r w:rsidR="003E25B5">
        <w:t>5</w:t>
      </w:r>
      <w:r w:rsidR="005C31A2" w:rsidRPr="00954142">
        <w:t>.</w:t>
      </w:r>
      <w:r w:rsidR="00F728CB">
        <w:t>8</w:t>
      </w:r>
      <w:r w:rsidR="005C31A2" w:rsidRPr="00954142">
        <w:t>%</w:t>
      </w:r>
      <w:r w:rsidR="00265AFF" w:rsidRPr="00954142">
        <w:t>.</w:t>
      </w:r>
    </w:p>
    <w:p w14:paraId="7DD97810" w14:textId="4D36ED7F" w:rsidR="00CE2E54" w:rsidRPr="00954142" w:rsidRDefault="007A23DB" w:rsidP="00CE2E54">
      <w:pPr>
        <w:tabs>
          <w:tab w:val="left" w:pos="1803"/>
        </w:tabs>
      </w:pPr>
      <w:r>
        <w:rPr>
          <w:rFonts w:cs="Times New Roman"/>
          <w:szCs w:val="22"/>
        </w:rPr>
        <w:t xml:space="preserve">A nivel de </w:t>
      </w:r>
      <w:r w:rsidR="00CE2E54" w:rsidRPr="00954142">
        <w:rPr>
          <w:rFonts w:cs="Times New Roman"/>
          <w:szCs w:val="22"/>
        </w:rPr>
        <w:t xml:space="preserve">cuentas económicas, </w:t>
      </w:r>
      <w:r w:rsidR="00CE2E54" w:rsidRPr="00954142">
        <w:t>el gasto en bienes y servicios</w:t>
      </w:r>
      <w:r w:rsidR="007A6A55">
        <w:t xml:space="preserve"> ha sido el que mayor crecimiento</w:t>
      </w:r>
      <w:r w:rsidR="00953C36">
        <w:t xml:space="preserve"> </w:t>
      </w:r>
      <w:r w:rsidR="0085290F">
        <w:t xml:space="preserve">presenta, con un gasto total de </w:t>
      </w:r>
      <w:r w:rsidR="00CE2E54" w:rsidRPr="00954142">
        <w:t>Q</w:t>
      </w:r>
      <w:r w:rsidR="0085290F" w:rsidRPr="0085290F">
        <w:t xml:space="preserve"> 12,889.8 </w:t>
      </w:r>
      <w:r w:rsidR="00CE2E54" w:rsidRPr="00954142">
        <w:t>millones</w:t>
      </w:r>
      <w:r w:rsidR="004F4E85">
        <w:t>,</w:t>
      </w:r>
      <w:r w:rsidR="0085290F">
        <w:t xml:space="preserve"> y una tasa de crecimiento</w:t>
      </w:r>
      <w:r w:rsidR="004F4E85">
        <w:t xml:space="preserve"> interanual</w:t>
      </w:r>
      <w:r w:rsidR="0085290F">
        <w:t xml:space="preserve"> del </w:t>
      </w:r>
      <w:r w:rsidR="0003331E">
        <w:t>50.5% (Q</w:t>
      </w:r>
      <w:r w:rsidR="0003331E" w:rsidRPr="0003331E">
        <w:t xml:space="preserve"> 4,327.3</w:t>
      </w:r>
      <w:r w:rsidR="0003331E">
        <w:t xml:space="preserve"> millones)</w:t>
      </w:r>
      <w:r w:rsidR="00CE2E54" w:rsidRPr="00B62E92">
        <w:t xml:space="preserve">. El </w:t>
      </w:r>
      <w:r w:rsidR="004F4E85">
        <w:t>aumen</w:t>
      </w:r>
      <w:r w:rsidR="00CE2E54" w:rsidRPr="00B62E92">
        <w:t xml:space="preserve">to </w:t>
      </w:r>
      <w:r w:rsidR="00F9638E">
        <w:t>en esta cuenta se</w:t>
      </w:r>
      <w:r w:rsidR="00CE2E54" w:rsidRPr="00B62E92">
        <w:t xml:space="preserve"> atribuye principalmente al gobierno central presupuestario</w:t>
      </w:r>
      <w:r w:rsidR="00F9638E">
        <w:t xml:space="preserve"> y su ejecución en</w:t>
      </w:r>
      <w:r w:rsidR="00CE2E54" w:rsidRPr="00B62E92">
        <w:t xml:space="preserve"> </w:t>
      </w:r>
      <w:r w:rsidR="00F9638E">
        <w:t>el renglón de</w:t>
      </w:r>
      <w:r w:rsidR="00CE2E54" w:rsidRPr="00B62E92">
        <w:t xml:space="preserve"> mantenimiento y reparación de bienes nacionales de uso común</w:t>
      </w:r>
      <w:r w:rsidR="004F4E85">
        <w:t xml:space="preserve"> realizado principalmente por el Ministerio de Comunicaciones, Infraestructura y Vivienda,</w:t>
      </w:r>
      <w:r w:rsidR="004F51E3">
        <w:t xml:space="preserve"> el cual al segundo trimestre </w:t>
      </w:r>
      <w:r w:rsidR="00F42185">
        <w:t>asciende a Q</w:t>
      </w:r>
      <w:r w:rsidR="00F42185" w:rsidRPr="00F42185">
        <w:t>2,406.5</w:t>
      </w:r>
      <w:r w:rsidR="003D2700">
        <w:t xml:space="preserve"> </w:t>
      </w:r>
      <w:r w:rsidR="00F42185">
        <w:t>millones</w:t>
      </w:r>
      <w:r w:rsidR="004F4E85">
        <w:t>,</w:t>
      </w:r>
      <w:r w:rsidR="00F42185">
        <w:t xml:space="preserve"> </w:t>
      </w:r>
      <w:r w:rsidR="004F4E85">
        <w:t>mostrando</w:t>
      </w:r>
      <w:r w:rsidR="00F42185">
        <w:t xml:space="preserve"> un incremento interanual del </w:t>
      </w:r>
      <w:r w:rsidR="0094418C">
        <w:t>374.1% (Q1,899.5</w:t>
      </w:r>
      <w:r w:rsidR="008E694C">
        <w:t xml:space="preserve"> millones)</w:t>
      </w:r>
      <w:r w:rsidR="00CE2E54" w:rsidRPr="00B62E92">
        <w:t>.</w:t>
      </w:r>
    </w:p>
    <w:p w14:paraId="649AD67E" w14:textId="03B6006C" w:rsidR="00727CF5" w:rsidRDefault="004F4E85" w:rsidP="00727CF5">
      <w:pPr>
        <w:rPr>
          <w:rFonts w:cs="Times New Roman"/>
          <w:szCs w:val="22"/>
        </w:rPr>
      </w:pPr>
      <w:r>
        <w:rPr>
          <w:rFonts w:cs="Times New Roman"/>
          <w:szCs w:val="22"/>
        </w:rPr>
        <w:t>Por su parte, l</w:t>
      </w:r>
      <w:r w:rsidR="00727CF5">
        <w:rPr>
          <w:rFonts w:cs="Times New Roman"/>
          <w:szCs w:val="22"/>
        </w:rPr>
        <w:t>as remuneraciones</w:t>
      </w:r>
      <w:r w:rsidR="008E694C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 xml:space="preserve">es </w:t>
      </w:r>
      <w:r w:rsidR="007E32E3">
        <w:rPr>
          <w:rFonts w:cs="Times New Roman"/>
          <w:szCs w:val="22"/>
        </w:rPr>
        <w:t>la cuenta económica</w:t>
      </w:r>
      <w:r w:rsidR="008E694C">
        <w:rPr>
          <w:rFonts w:cs="Times New Roman"/>
          <w:szCs w:val="22"/>
        </w:rPr>
        <w:t xml:space="preserve"> con </w:t>
      </w:r>
      <w:r w:rsidR="00AF5A1F">
        <w:rPr>
          <w:rFonts w:cs="Times New Roman"/>
          <w:szCs w:val="22"/>
        </w:rPr>
        <w:t>el segundo crecimiento más pronunciado al segundo trimestre del año</w:t>
      </w:r>
      <w:r w:rsidR="00790907">
        <w:rPr>
          <w:rFonts w:cs="Times New Roman"/>
          <w:szCs w:val="22"/>
        </w:rPr>
        <w:t>,</w:t>
      </w:r>
      <w:r w:rsidR="00AF5A1F">
        <w:rPr>
          <w:rFonts w:cs="Times New Roman"/>
          <w:szCs w:val="22"/>
        </w:rPr>
        <w:t xml:space="preserve"> el gasto en esta cuenta se sitúa en </w:t>
      </w:r>
      <w:r w:rsidR="00727CF5" w:rsidRPr="00954142">
        <w:rPr>
          <w:rFonts w:cs="Times New Roman"/>
          <w:szCs w:val="22"/>
        </w:rPr>
        <w:t>Q</w:t>
      </w:r>
      <w:r w:rsidR="007E32E3" w:rsidRPr="007E32E3">
        <w:t xml:space="preserve"> </w:t>
      </w:r>
      <w:r w:rsidR="007E32E3" w:rsidRPr="007E32E3">
        <w:rPr>
          <w:rFonts w:cs="Times New Roman"/>
          <w:szCs w:val="22"/>
        </w:rPr>
        <w:t xml:space="preserve">25,802.1 </w:t>
      </w:r>
      <w:r w:rsidR="00727CF5" w:rsidRPr="00954142">
        <w:rPr>
          <w:rFonts w:cs="Times New Roman"/>
          <w:szCs w:val="22"/>
        </w:rPr>
        <w:t>millones</w:t>
      </w:r>
      <w:r>
        <w:rPr>
          <w:rFonts w:cs="Times New Roman"/>
          <w:szCs w:val="22"/>
        </w:rPr>
        <w:t>,</w:t>
      </w:r>
      <w:r w:rsidR="007E32E3">
        <w:rPr>
          <w:rFonts w:cs="Times New Roman"/>
          <w:szCs w:val="22"/>
        </w:rPr>
        <w:t xml:space="preserve"> mostrando un</w:t>
      </w:r>
      <w:r w:rsidR="00727CF5" w:rsidRPr="00954142">
        <w:rPr>
          <w:rFonts w:cs="Times New Roman"/>
          <w:szCs w:val="22"/>
        </w:rPr>
        <w:t xml:space="preserve"> crecimiento interanual del </w:t>
      </w:r>
      <w:r w:rsidR="00727CF5">
        <w:rPr>
          <w:rFonts w:cs="Times New Roman"/>
          <w:szCs w:val="22"/>
        </w:rPr>
        <w:t>1</w:t>
      </w:r>
      <w:r w:rsidR="003317F8">
        <w:rPr>
          <w:rFonts w:cs="Times New Roman"/>
          <w:szCs w:val="22"/>
        </w:rPr>
        <w:t>3</w:t>
      </w:r>
      <w:r w:rsidR="00727CF5">
        <w:rPr>
          <w:rFonts w:cs="Times New Roman"/>
          <w:szCs w:val="22"/>
        </w:rPr>
        <w:t>.</w:t>
      </w:r>
      <w:r w:rsidR="003317F8">
        <w:rPr>
          <w:rFonts w:cs="Times New Roman"/>
          <w:szCs w:val="22"/>
        </w:rPr>
        <w:t>2</w:t>
      </w:r>
      <w:r w:rsidR="00727CF5" w:rsidRPr="00954142">
        <w:rPr>
          <w:rFonts w:cs="Times New Roman"/>
          <w:szCs w:val="22"/>
        </w:rPr>
        <w:t>% (Q</w:t>
      </w:r>
      <w:r w:rsidR="003317F8" w:rsidRPr="003317F8">
        <w:rPr>
          <w:rFonts w:cs="Times New Roman"/>
          <w:szCs w:val="22"/>
        </w:rPr>
        <w:t>3,003.3</w:t>
      </w:r>
      <w:r w:rsidR="003317F8">
        <w:rPr>
          <w:rFonts w:cs="Times New Roman"/>
          <w:szCs w:val="22"/>
        </w:rPr>
        <w:t xml:space="preserve"> </w:t>
      </w:r>
      <w:r w:rsidR="00727CF5" w:rsidRPr="00954142">
        <w:rPr>
          <w:rFonts w:cs="Times New Roman"/>
          <w:szCs w:val="22"/>
        </w:rPr>
        <w:t xml:space="preserve">millones). </w:t>
      </w:r>
      <w:r w:rsidR="00715AAF">
        <w:rPr>
          <w:rFonts w:cs="Times New Roman"/>
          <w:szCs w:val="22"/>
        </w:rPr>
        <w:t xml:space="preserve">A nivel de subsectores </w:t>
      </w:r>
      <w:r>
        <w:rPr>
          <w:rFonts w:cs="Times New Roman"/>
          <w:szCs w:val="22"/>
        </w:rPr>
        <w:t xml:space="preserve">en </w:t>
      </w:r>
      <w:r w:rsidR="00715AAF">
        <w:rPr>
          <w:rFonts w:cs="Times New Roman"/>
          <w:szCs w:val="22"/>
        </w:rPr>
        <w:t>esta cuenta económica, l</w:t>
      </w:r>
      <w:r w:rsidR="00727CF5" w:rsidRPr="00754C59">
        <w:rPr>
          <w:rFonts w:cs="Times New Roman"/>
          <w:szCs w:val="22"/>
        </w:rPr>
        <w:t>a mayor ejecución la realiz</w:t>
      </w:r>
      <w:r w:rsidR="00715AAF">
        <w:rPr>
          <w:rFonts w:cs="Times New Roman"/>
          <w:szCs w:val="22"/>
        </w:rPr>
        <w:t>a</w:t>
      </w:r>
      <w:r w:rsidR="00727CF5" w:rsidRPr="00754C59">
        <w:rPr>
          <w:rFonts w:cs="Times New Roman"/>
          <w:szCs w:val="22"/>
        </w:rPr>
        <w:t xml:space="preserve"> el gobierno central presupuestario con el 6</w:t>
      </w:r>
      <w:r w:rsidR="00816CEB">
        <w:rPr>
          <w:rFonts w:cs="Times New Roman"/>
          <w:szCs w:val="22"/>
        </w:rPr>
        <w:t>3</w:t>
      </w:r>
      <w:r w:rsidR="00727CF5" w:rsidRPr="00754C59">
        <w:rPr>
          <w:rFonts w:cs="Times New Roman"/>
          <w:szCs w:val="22"/>
        </w:rPr>
        <w:t>.</w:t>
      </w:r>
      <w:r w:rsidR="00816CEB">
        <w:rPr>
          <w:rFonts w:cs="Times New Roman"/>
          <w:szCs w:val="22"/>
        </w:rPr>
        <w:t>8</w:t>
      </w:r>
      <w:r w:rsidR="00727CF5" w:rsidRPr="00754C59">
        <w:rPr>
          <w:rFonts w:cs="Times New Roman"/>
          <w:szCs w:val="22"/>
        </w:rPr>
        <w:t>%, seguido del gobierno central extrapresupuestario con el 2</w:t>
      </w:r>
      <w:r w:rsidR="00816CEB">
        <w:rPr>
          <w:rFonts w:cs="Times New Roman"/>
          <w:szCs w:val="22"/>
        </w:rPr>
        <w:t>4</w:t>
      </w:r>
      <w:r w:rsidR="00727CF5" w:rsidRPr="00754C59">
        <w:rPr>
          <w:rFonts w:cs="Times New Roman"/>
          <w:szCs w:val="22"/>
        </w:rPr>
        <w:t>.</w:t>
      </w:r>
      <w:r w:rsidR="00816CEB">
        <w:rPr>
          <w:rFonts w:cs="Times New Roman"/>
          <w:szCs w:val="22"/>
        </w:rPr>
        <w:t>0</w:t>
      </w:r>
      <w:r w:rsidR="00727CF5" w:rsidRPr="00754C59">
        <w:rPr>
          <w:rFonts w:cs="Times New Roman"/>
          <w:szCs w:val="22"/>
        </w:rPr>
        <w:t>%, los gobiernos locales con el 6.</w:t>
      </w:r>
      <w:r w:rsidR="00227743">
        <w:rPr>
          <w:rFonts w:cs="Times New Roman"/>
          <w:szCs w:val="22"/>
        </w:rPr>
        <w:t>2</w:t>
      </w:r>
      <w:r w:rsidR="00727CF5" w:rsidRPr="00754C59">
        <w:rPr>
          <w:rFonts w:cs="Times New Roman"/>
          <w:szCs w:val="22"/>
        </w:rPr>
        <w:t>%, y finalmente, los fondos de seguridad social con el 6.</w:t>
      </w:r>
      <w:r w:rsidR="00227743">
        <w:rPr>
          <w:rFonts w:cs="Times New Roman"/>
          <w:szCs w:val="22"/>
        </w:rPr>
        <w:t>0</w:t>
      </w:r>
      <w:r w:rsidR="00727CF5" w:rsidRPr="00754C59">
        <w:rPr>
          <w:rFonts w:cs="Times New Roman"/>
          <w:szCs w:val="22"/>
        </w:rPr>
        <w:t>%</w:t>
      </w:r>
      <w:r w:rsidR="00727CF5" w:rsidRPr="00954142">
        <w:rPr>
          <w:rFonts w:cs="Times New Roman"/>
          <w:szCs w:val="22"/>
        </w:rPr>
        <w:t>.</w:t>
      </w:r>
    </w:p>
    <w:p w14:paraId="6251A88B" w14:textId="7FF6A182" w:rsidR="00437373" w:rsidRDefault="00CC0452" w:rsidP="00455081">
      <w:pPr>
        <w:rPr>
          <w:rFonts w:cs="Times New Roman"/>
          <w:szCs w:val="22"/>
          <w:lang w:val="es-MX"/>
        </w:rPr>
      </w:pPr>
      <w:r w:rsidRPr="00954142">
        <w:rPr>
          <w:rFonts w:cs="Times New Roman"/>
          <w:noProof/>
          <w:szCs w:val="22"/>
          <w:lang w:eastAsia="es-GT"/>
        </w:rPr>
        <w:drawing>
          <wp:anchor distT="0" distB="0" distL="114300" distR="114300" simplePos="0" relativeHeight="251658252" behindDoc="0" locked="0" layoutInCell="1" allowOverlap="1" wp14:anchorId="0BB263B2" wp14:editId="75A2E80F">
            <wp:simplePos x="0" y="0"/>
            <wp:positionH relativeFrom="margin">
              <wp:align>left</wp:align>
            </wp:positionH>
            <wp:positionV relativeFrom="paragraph">
              <wp:posOffset>641985</wp:posOffset>
            </wp:positionV>
            <wp:extent cx="5943600" cy="2284730"/>
            <wp:effectExtent l="0" t="0" r="0" b="127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F59">
        <w:rPr>
          <w:rFonts w:cs="Times New Roman"/>
          <w:szCs w:val="22"/>
        </w:rPr>
        <w:t>La categoría de otros gastos ascendió</w:t>
      </w:r>
      <w:r w:rsidR="00BD06BE">
        <w:rPr>
          <w:rFonts w:cs="Times New Roman"/>
          <w:szCs w:val="22"/>
        </w:rPr>
        <w:t xml:space="preserve"> a </w:t>
      </w:r>
      <w:r w:rsidR="00455081" w:rsidRPr="00954142">
        <w:rPr>
          <w:rFonts w:cs="Times New Roman"/>
          <w:szCs w:val="22"/>
        </w:rPr>
        <w:t>Q</w:t>
      </w:r>
      <w:r w:rsidR="00492544" w:rsidRPr="00492544">
        <w:rPr>
          <w:rFonts w:cs="Times New Roman"/>
          <w:szCs w:val="22"/>
        </w:rPr>
        <w:t>4,692.0</w:t>
      </w:r>
      <w:r w:rsidR="00455081" w:rsidRPr="00954142">
        <w:rPr>
          <w:rFonts w:cs="Times New Roman"/>
          <w:szCs w:val="22"/>
        </w:rPr>
        <w:t xml:space="preserve"> millones</w:t>
      </w:r>
      <w:r w:rsidR="004F4E85">
        <w:rPr>
          <w:rFonts w:cs="Times New Roman"/>
          <w:szCs w:val="22"/>
        </w:rPr>
        <w:t>,</w:t>
      </w:r>
      <w:r w:rsidR="00041505">
        <w:rPr>
          <w:rFonts w:cs="Times New Roman"/>
          <w:szCs w:val="22"/>
        </w:rPr>
        <w:t xml:space="preserve"> con un incremento</w:t>
      </w:r>
      <w:r w:rsidR="004F4E85">
        <w:rPr>
          <w:rFonts w:cs="Times New Roman"/>
          <w:szCs w:val="22"/>
        </w:rPr>
        <w:t xml:space="preserve"> interanual</w:t>
      </w:r>
      <w:r w:rsidR="00041505">
        <w:rPr>
          <w:rFonts w:cs="Times New Roman"/>
          <w:szCs w:val="22"/>
        </w:rPr>
        <w:t xml:space="preserve"> del 27.9% (Q1,024.7 millones)</w:t>
      </w:r>
      <w:r w:rsidR="00455081" w:rsidRPr="00954142">
        <w:rPr>
          <w:rFonts w:cs="Times New Roman"/>
          <w:szCs w:val="22"/>
        </w:rPr>
        <w:t xml:space="preserve"> respecto </w:t>
      </w:r>
      <w:r w:rsidR="00041505">
        <w:rPr>
          <w:rFonts w:cs="Times New Roman"/>
          <w:szCs w:val="22"/>
        </w:rPr>
        <w:t>al mismo periodo del año previo</w:t>
      </w:r>
      <w:r w:rsidR="00455081" w:rsidRPr="005D1DEC">
        <w:rPr>
          <w:rFonts w:cs="Times New Roman"/>
          <w:szCs w:val="22"/>
        </w:rPr>
        <w:t xml:space="preserve">. </w:t>
      </w:r>
      <w:r w:rsidR="00A65F59">
        <w:rPr>
          <w:rFonts w:cs="Times New Roman"/>
          <w:szCs w:val="22"/>
        </w:rPr>
        <w:t>El g</w:t>
      </w:r>
      <w:r w:rsidR="00455081" w:rsidRPr="005D1DEC">
        <w:rPr>
          <w:rFonts w:cs="Times New Roman"/>
          <w:szCs w:val="22"/>
        </w:rPr>
        <w:t xml:space="preserve">obierno central presupuestario </w:t>
      </w:r>
      <w:r w:rsidR="00A65F59">
        <w:rPr>
          <w:rFonts w:cs="Times New Roman"/>
          <w:szCs w:val="22"/>
        </w:rPr>
        <w:t xml:space="preserve">ejecuta el </w:t>
      </w:r>
      <w:r w:rsidR="00455081" w:rsidRPr="005D1DEC">
        <w:rPr>
          <w:rFonts w:cs="Times New Roman"/>
          <w:szCs w:val="22"/>
          <w:lang w:val="es-MX"/>
        </w:rPr>
        <w:t>9</w:t>
      </w:r>
      <w:r w:rsidR="00A508D6">
        <w:rPr>
          <w:rFonts w:cs="Times New Roman"/>
          <w:szCs w:val="22"/>
          <w:lang w:val="es-MX"/>
        </w:rPr>
        <w:t>3</w:t>
      </w:r>
      <w:r w:rsidR="00455081" w:rsidRPr="005D1DEC">
        <w:rPr>
          <w:rFonts w:cs="Times New Roman"/>
          <w:szCs w:val="22"/>
          <w:lang w:val="es-MX"/>
        </w:rPr>
        <w:t>.5%</w:t>
      </w:r>
      <w:r w:rsidR="00A508D6">
        <w:rPr>
          <w:rFonts w:cs="Times New Roman"/>
          <w:szCs w:val="22"/>
          <w:lang w:val="es-MX"/>
        </w:rPr>
        <w:t xml:space="preserve"> de esta cuenta económica, seguido del gobierno central extrapresupuestario </w:t>
      </w:r>
      <w:r w:rsidR="00AF6DE8">
        <w:rPr>
          <w:rFonts w:cs="Times New Roman"/>
          <w:szCs w:val="22"/>
          <w:lang w:val="es-MX"/>
        </w:rPr>
        <w:t>con el 3.6%, los gobiernos locales ejecutan el 2.4% y los fondos de seguridad social el 0.5%</w:t>
      </w:r>
      <w:r w:rsidR="00455081">
        <w:rPr>
          <w:rFonts w:cs="Times New Roman"/>
          <w:szCs w:val="22"/>
          <w:lang w:val="es-MX"/>
        </w:rPr>
        <w:t>.</w:t>
      </w:r>
    </w:p>
    <w:p w14:paraId="44B88A48" w14:textId="5E5DACBE" w:rsidR="00437373" w:rsidRDefault="004F4E85" w:rsidP="00455081">
      <w:pPr>
        <w:rPr>
          <w:rFonts w:cs="Times New Roman"/>
          <w:szCs w:val="22"/>
        </w:rPr>
      </w:pPr>
      <w:r>
        <w:rPr>
          <w:rFonts w:cs="Times New Roman"/>
          <w:szCs w:val="22"/>
        </w:rPr>
        <w:lastRenderedPageBreak/>
        <w:t xml:space="preserve">En lo que respecta a </w:t>
      </w:r>
      <w:r w:rsidR="00437373" w:rsidRPr="00954142">
        <w:rPr>
          <w:rFonts w:cs="Times New Roman"/>
          <w:szCs w:val="22"/>
        </w:rPr>
        <w:t xml:space="preserve">las </w:t>
      </w:r>
      <w:r w:rsidR="00437373">
        <w:rPr>
          <w:rFonts w:cs="Times New Roman"/>
          <w:szCs w:val="22"/>
        </w:rPr>
        <w:t>prestaciones sociales</w:t>
      </w:r>
      <w:r>
        <w:rPr>
          <w:rFonts w:cs="Times New Roman"/>
          <w:szCs w:val="22"/>
        </w:rPr>
        <w:t>, estas</w:t>
      </w:r>
      <w:r w:rsidR="00437373">
        <w:rPr>
          <w:rFonts w:cs="Times New Roman"/>
          <w:szCs w:val="22"/>
        </w:rPr>
        <w:t xml:space="preserve"> </w:t>
      </w:r>
      <w:r w:rsidR="00437373" w:rsidRPr="00954142">
        <w:rPr>
          <w:rFonts w:cs="Times New Roman"/>
          <w:szCs w:val="22"/>
        </w:rPr>
        <w:t>ascendieron a Q</w:t>
      </w:r>
      <w:r w:rsidR="00D26762" w:rsidRPr="00D26762">
        <w:rPr>
          <w:rFonts w:cs="Times New Roman"/>
          <w:szCs w:val="22"/>
        </w:rPr>
        <w:t>6,794.1</w:t>
      </w:r>
      <w:r w:rsidR="00437373" w:rsidRPr="00954142">
        <w:rPr>
          <w:rFonts w:cs="Times New Roman"/>
          <w:szCs w:val="22"/>
        </w:rPr>
        <w:t xml:space="preserve"> millones</w:t>
      </w:r>
      <w:r w:rsidR="00B00DAC">
        <w:rPr>
          <w:rFonts w:cs="Times New Roman"/>
          <w:szCs w:val="22"/>
        </w:rPr>
        <w:t>,</w:t>
      </w:r>
      <w:r>
        <w:rPr>
          <w:rFonts w:cs="Times New Roman"/>
          <w:szCs w:val="22"/>
        </w:rPr>
        <w:t xml:space="preserve"> </w:t>
      </w:r>
      <w:r w:rsidR="00B00DAC">
        <w:rPr>
          <w:rFonts w:cs="Times New Roman"/>
          <w:szCs w:val="22"/>
        </w:rPr>
        <w:t>l</w:t>
      </w:r>
      <w:r>
        <w:rPr>
          <w:rFonts w:cs="Times New Roman"/>
          <w:szCs w:val="22"/>
        </w:rPr>
        <w:t>as cuales</w:t>
      </w:r>
      <w:r w:rsidR="002E6828">
        <w:rPr>
          <w:rFonts w:cs="Times New Roman"/>
          <w:szCs w:val="22"/>
        </w:rPr>
        <w:t xml:space="preserve"> m</w:t>
      </w:r>
      <w:r>
        <w:rPr>
          <w:rFonts w:cs="Times New Roman"/>
          <w:szCs w:val="22"/>
        </w:rPr>
        <w:t>ues</w:t>
      </w:r>
      <w:r w:rsidR="002E6828">
        <w:rPr>
          <w:rFonts w:cs="Times New Roman"/>
          <w:szCs w:val="22"/>
        </w:rPr>
        <w:t>tran un crecimiento interanual del 16.0% (Q938.0 millones)</w:t>
      </w:r>
      <w:r>
        <w:rPr>
          <w:rFonts w:cs="Times New Roman"/>
          <w:szCs w:val="22"/>
        </w:rPr>
        <w:t xml:space="preserve"> </w:t>
      </w:r>
      <w:r w:rsidR="00B1586D">
        <w:rPr>
          <w:rFonts w:cs="Times New Roman"/>
          <w:szCs w:val="22"/>
        </w:rPr>
        <w:t>e</w:t>
      </w:r>
      <w:r>
        <w:rPr>
          <w:rFonts w:cs="Times New Roman"/>
          <w:szCs w:val="22"/>
        </w:rPr>
        <w:t xml:space="preserve">n donde </w:t>
      </w:r>
      <w:r w:rsidR="00ED496F">
        <w:rPr>
          <w:rFonts w:cs="Times New Roman"/>
          <w:szCs w:val="22"/>
        </w:rPr>
        <w:t xml:space="preserve">el gobierno central presupuestario ejecuta el 51.3%, seguido de los fondos de seguridad social con el 42.6%, el gobierno central extrapresupuestario ejecuta el </w:t>
      </w:r>
      <w:r w:rsidR="005222DD">
        <w:rPr>
          <w:rFonts w:cs="Times New Roman"/>
          <w:szCs w:val="22"/>
        </w:rPr>
        <w:t>4.3% y los gobiernos locales el 1.8%</w:t>
      </w:r>
    </w:p>
    <w:p w14:paraId="7B3F7BC9" w14:textId="6DE8854C" w:rsidR="00455081" w:rsidRDefault="00455081" w:rsidP="00455081">
      <w:pPr>
        <w:rPr>
          <w:rFonts w:cs="Times New Roman"/>
          <w:szCs w:val="22"/>
        </w:rPr>
      </w:pPr>
      <w:r>
        <w:rPr>
          <w:rFonts w:cs="Times New Roman"/>
          <w:szCs w:val="22"/>
        </w:rPr>
        <w:t>L</w:t>
      </w:r>
      <w:r w:rsidRPr="00954142">
        <w:rPr>
          <w:rFonts w:cs="Times New Roman"/>
          <w:szCs w:val="22"/>
        </w:rPr>
        <w:t xml:space="preserve">os </w:t>
      </w:r>
      <w:r>
        <w:rPr>
          <w:rFonts w:cs="Times New Roman"/>
          <w:szCs w:val="22"/>
        </w:rPr>
        <w:t xml:space="preserve">intereses </w:t>
      </w:r>
      <w:r w:rsidR="005222DD">
        <w:rPr>
          <w:rFonts w:cs="Times New Roman"/>
          <w:szCs w:val="22"/>
        </w:rPr>
        <w:t xml:space="preserve">mostraron una ejecución del </w:t>
      </w:r>
      <w:r w:rsidRPr="00BD3466">
        <w:rPr>
          <w:rFonts w:cs="Times New Roman"/>
          <w:szCs w:val="22"/>
        </w:rPr>
        <w:t>Q</w:t>
      </w:r>
      <w:r w:rsidR="00480606" w:rsidRPr="00480606">
        <w:rPr>
          <w:rFonts w:cs="Times New Roman"/>
          <w:szCs w:val="22"/>
        </w:rPr>
        <w:t>5,760.9</w:t>
      </w:r>
      <w:r w:rsidRPr="00BD3466">
        <w:rPr>
          <w:rFonts w:cs="Times New Roman"/>
          <w:szCs w:val="22"/>
        </w:rPr>
        <w:t xml:space="preserve"> millones</w:t>
      </w:r>
      <w:r w:rsidR="00480606">
        <w:rPr>
          <w:rFonts w:cs="Times New Roman"/>
          <w:szCs w:val="22"/>
        </w:rPr>
        <w:t xml:space="preserve"> con un incremento </w:t>
      </w:r>
      <w:r w:rsidR="004F4E85">
        <w:rPr>
          <w:rFonts w:cs="Times New Roman"/>
          <w:szCs w:val="22"/>
        </w:rPr>
        <w:t>interanual</w:t>
      </w:r>
      <w:r w:rsidR="00B1586D">
        <w:rPr>
          <w:rFonts w:cs="Times New Roman"/>
          <w:szCs w:val="22"/>
        </w:rPr>
        <w:t xml:space="preserve"> </w:t>
      </w:r>
      <w:r w:rsidR="00480606">
        <w:rPr>
          <w:rFonts w:cs="Times New Roman"/>
          <w:szCs w:val="22"/>
        </w:rPr>
        <w:t>del 9.5% (Q498.0 millones)</w:t>
      </w:r>
      <w:r>
        <w:rPr>
          <w:rFonts w:cs="Times New Roman"/>
          <w:szCs w:val="22"/>
        </w:rPr>
        <w:t xml:space="preserve"> y</w:t>
      </w:r>
      <w:r w:rsidRPr="00BD3466">
        <w:rPr>
          <w:rFonts w:cs="Times New Roman"/>
          <w:szCs w:val="22"/>
        </w:rPr>
        <w:t xml:space="preserve"> explicado principalmente por el pago de intereses realizad</w:t>
      </w:r>
      <w:r>
        <w:rPr>
          <w:rFonts w:cs="Times New Roman"/>
          <w:szCs w:val="22"/>
        </w:rPr>
        <w:t>o</w:t>
      </w:r>
      <w:r w:rsidRPr="00BD3466">
        <w:rPr>
          <w:rFonts w:cs="Times New Roman"/>
          <w:szCs w:val="22"/>
        </w:rPr>
        <w:t xml:space="preserve"> por el gobierno central presupuestario</w:t>
      </w:r>
      <w:r w:rsidR="004F4E85">
        <w:rPr>
          <w:rFonts w:cs="Times New Roman"/>
          <w:szCs w:val="22"/>
        </w:rPr>
        <w:t xml:space="preserve"> (99.7%)</w:t>
      </w:r>
      <w:r w:rsidR="00CF66DB">
        <w:rPr>
          <w:rFonts w:cs="Times New Roman"/>
          <w:szCs w:val="22"/>
        </w:rPr>
        <w:t xml:space="preserve"> </w:t>
      </w:r>
      <w:r w:rsidR="004F4E85">
        <w:rPr>
          <w:rFonts w:cs="Times New Roman"/>
          <w:szCs w:val="22"/>
        </w:rPr>
        <w:t xml:space="preserve">especialmente los intereses originados por préstamos externos, debido al alza en las tasas de interés en el mercado internacional, y la otra parte de los intereses son pagados por </w:t>
      </w:r>
      <w:r w:rsidR="00EC1A92">
        <w:rPr>
          <w:rFonts w:cs="Times New Roman"/>
          <w:szCs w:val="22"/>
        </w:rPr>
        <w:t xml:space="preserve">los </w:t>
      </w:r>
      <w:r w:rsidRPr="00BD3466">
        <w:rPr>
          <w:rFonts w:cs="Times New Roman"/>
          <w:szCs w:val="22"/>
        </w:rPr>
        <w:t>gobiernos locales</w:t>
      </w:r>
      <w:r w:rsidR="00EC1A92">
        <w:rPr>
          <w:rFonts w:cs="Times New Roman"/>
          <w:szCs w:val="22"/>
        </w:rPr>
        <w:t xml:space="preserve"> </w:t>
      </w:r>
      <w:r w:rsidR="004F4E85">
        <w:rPr>
          <w:rFonts w:cs="Times New Roman"/>
          <w:szCs w:val="22"/>
        </w:rPr>
        <w:t>(</w:t>
      </w:r>
      <w:r w:rsidR="00EC1A92">
        <w:rPr>
          <w:rFonts w:cs="Times New Roman"/>
          <w:szCs w:val="22"/>
        </w:rPr>
        <w:t xml:space="preserve"> 0.3%</w:t>
      </w:r>
      <w:r w:rsidR="004F4E85">
        <w:rPr>
          <w:rFonts w:cs="Times New Roman"/>
          <w:szCs w:val="22"/>
        </w:rPr>
        <w:t xml:space="preserve">) </w:t>
      </w:r>
      <w:r w:rsidR="00ED4CC7">
        <w:rPr>
          <w:rFonts w:cs="Times New Roman"/>
          <w:szCs w:val="22"/>
        </w:rPr>
        <w:t>que se pagan a la banca comercial de Guatemala por lo préstamos que reciben</w:t>
      </w:r>
      <w:r w:rsidRPr="00BD3466">
        <w:rPr>
          <w:rFonts w:cs="Times New Roman"/>
          <w:szCs w:val="22"/>
        </w:rPr>
        <w:t>.</w:t>
      </w:r>
      <w:r>
        <w:rPr>
          <w:rFonts w:cs="Times New Roman"/>
          <w:szCs w:val="22"/>
        </w:rPr>
        <w:t xml:space="preserve"> </w:t>
      </w:r>
      <w:r w:rsidR="004F4E85">
        <w:rPr>
          <w:rFonts w:cs="Times New Roman"/>
          <w:szCs w:val="22"/>
        </w:rPr>
        <w:t xml:space="preserve"> </w:t>
      </w:r>
    </w:p>
    <w:p w14:paraId="738FB5A0" w14:textId="27BDC0F5" w:rsidR="00186D63" w:rsidRPr="00EE3931" w:rsidRDefault="00186D63" w:rsidP="00186D63">
      <w:pPr>
        <w:rPr>
          <w:rFonts w:cs="Times New Roman"/>
          <w:szCs w:val="22"/>
          <w:lang w:val="es-MX"/>
        </w:rPr>
      </w:pPr>
      <w:r w:rsidRPr="0032780C">
        <w:rPr>
          <w:rFonts w:cs="Times New Roman"/>
          <w:szCs w:val="22"/>
          <w:lang w:val="es-MX"/>
        </w:rPr>
        <w:t xml:space="preserve">Por último, las cuentas </w:t>
      </w:r>
      <w:r w:rsidR="00C35745" w:rsidRPr="0032780C">
        <w:rPr>
          <w:rFonts w:cs="Times New Roman"/>
          <w:szCs w:val="22"/>
          <w:lang w:val="es-MX"/>
        </w:rPr>
        <w:t xml:space="preserve">económicas que tuvieron </w:t>
      </w:r>
      <w:r w:rsidR="003065D6" w:rsidRPr="0032780C">
        <w:rPr>
          <w:rFonts w:cs="Times New Roman"/>
          <w:szCs w:val="22"/>
          <w:lang w:val="es-MX"/>
        </w:rPr>
        <w:t>disminuciones interanuales al segundo trimestre fueron las donaciones con una ejecución de Q</w:t>
      </w:r>
      <w:r w:rsidR="00133625" w:rsidRPr="0032780C">
        <w:rPr>
          <w:rFonts w:cs="Times New Roman"/>
          <w:szCs w:val="22"/>
          <w:lang w:val="es-MX"/>
        </w:rPr>
        <w:t xml:space="preserve">263.6 millones </w:t>
      </w:r>
      <w:r w:rsidR="0085444D" w:rsidRPr="0032780C">
        <w:rPr>
          <w:rFonts w:cs="Times New Roman"/>
          <w:szCs w:val="22"/>
          <w:lang w:val="es-MX"/>
        </w:rPr>
        <w:t>y</w:t>
      </w:r>
      <w:r w:rsidR="00133625" w:rsidRPr="0032780C">
        <w:rPr>
          <w:rFonts w:cs="Times New Roman"/>
          <w:szCs w:val="22"/>
          <w:lang w:val="es-MX"/>
        </w:rPr>
        <w:t xml:space="preserve"> una disminución del </w:t>
      </w:r>
      <w:r w:rsidR="000E76F1" w:rsidRPr="0032780C">
        <w:rPr>
          <w:rFonts w:cs="Times New Roman"/>
          <w:szCs w:val="22"/>
          <w:lang w:val="es-MX"/>
        </w:rPr>
        <w:t>25.9% (Q92.0 millones)</w:t>
      </w:r>
      <w:r w:rsidR="00252F8C" w:rsidRPr="0032780C">
        <w:rPr>
          <w:rFonts w:cs="Times New Roman"/>
          <w:szCs w:val="22"/>
          <w:lang w:val="es-MX"/>
        </w:rPr>
        <w:t xml:space="preserve"> respecto al mismo periodo del año previo</w:t>
      </w:r>
      <w:r w:rsidR="000E76F1" w:rsidRPr="0032780C">
        <w:rPr>
          <w:rFonts w:cs="Times New Roman"/>
          <w:szCs w:val="22"/>
          <w:lang w:val="es-MX"/>
        </w:rPr>
        <w:t xml:space="preserve"> y los subsidios </w:t>
      </w:r>
      <w:r w:rsidR="00252F8C" w:rsidRPr="0032780C">
        <w:rPr>
          <w:rFonts w:cs="Times New Roman"/>
          <w:szCs w:val="22"/>
          <w:lang w:val="es-MX"/>
        </w:rPr>
        <w:t xml:space="preserve">que </w:t>
      </w:r>
      <w:r w:rsidR="000E76F1" w:rsidRPr="0032780C">
        <w:rPr>
          <w:rFonts w:cs="Times New Roman"/>
          <w:szCs w:val="22"/>
          <w:lang w:val="es-MX"/>
        </w:rPr>
        <w:t xml:space="preserve">ascendieron a Q592.8 millones con una tasa </w:t>
      </w:r>
      <w:r w:rsidR="00EE3931" w:rsidRPr="0032780C">
        <w:rPr>
          <w:rFonts w:cs="Times New Roman"/>
          <w:szCs w:val="22"/>
          <w:lang w:val="es-MX"/>
        </w:rPr>
        <w:t>de variación negativa del 64.7% (Q1,088.0 millones)</w:t>
      </w:r>
      <w:r w:rsidR="00252F8C" w:rsidRPr="0032780C">
        <w:rPr>
          <w:rFonts w:cs="Times New Roman"/>
          <w:szCs w:val="22"/>
          <w:lang w:val="es-MX"/>
        </w:rPr>
        <w:t>. C</w:t>
      </w:r>
      <w:r w:rsidR="00FF6B82" w:rsidRPr="0032780C">
        <w:rPr>
          <w:rFonts w:cs="Times New Roman"/>
          <w:szCs w:val="22"/>
          <w:lang w:val="es-MX"/>
        </w:rPr>
        <w:t>abe mencionar que e</w:t>
      </w:r>
      <w:r w:rsidRPr="0032780C">
        <w:rPr>
          <w:rFonts w:cs="Times New Roman"/>
          <w:szCs w:val="22"/>
          <w:lang w:val="es-MX"/>
        </w:rPr>
        <w:t>l menor crecimiento</w:t>
      </w:r>
      <w:r>
        <w:rPr>
          <w:rFonts w:cs="Times New Roman"/>
          <w:szCs w:val="22"/>
          <w:lang w:val="es-MX"/>
        </w:rPr>
        <w:t xml:space="preserve"> de esta</w:t>
      </w:r>
      <w:r w:rsidR="00FF6B82">
        <w:rPr>
          <w:rFonts w:cs="Times New Roman"/>
          <w:szCs w:val="22"/>
          <w:lang w:val="es-MX"/>
        </w:rPr>
        <w:t xml:space="preserve"> última</w:t>
      </w:r>
      <w:r>
        <w:rPr>
          <w:rFonts w:cs="Times New Roman"/>
          <w:szCs w:val="22"/>
          <w:lang w:val="es-MX"/>
        </w:rPr>
        <w:t xml:space="preserve"> </w:t>
      </w:r>
      <w:r w:rsidR="00AE1BDC">
        <w:rPr>
          <w:rFonts w:cs="Times New Roman"/>
          <w:szCs w:val="22"/>
          <w:lang w:val="es-MX"/>
        </w:rPr>
        <w:t>cuenta</w:t>
      </w:r>
      <w:r w:rsidR="00252F8C">
        <w:rPr>
          <w:rFonts w:cs="Times New Roman"/>
          <w:szCs w:val="22"/>
          <w:lang w:val="es-MX"/>
        </w:rPr>
        <w:t xml:space="preserve"> </w:t>
      </w:r>
      <w:r>
        <w:rPr>
          <w:rFonts w:cs="Times New Roman"/>
          <w:szCs w:val="22"/>
          <w:lang w:val="es-MX"/>
        </w:rPr>
        <w:t xml:space="preserve">se dio </w:t>
      </w:r>
      <w:r w:rsidRPr="00FE0B84">
        <w:rPr>
          <w:rFonts w:cs="Times New Roman"/>
          <w:szCs w:val="22"/>
          <w:lang w:val="es-MX"/>
        </w:rPr>
        <w:t>principalmente</w:t>
      </w:r>
      <w:r w:rsidR="00650DA1">
        <w:rPr>
          <w:rFonts w:cs="Times New Roman"/>
          <w:szCs w:val="22"/>
          <w:lang w:val="es-MX"/>
        </w:rPr>
        <w:t xml:space="preserve"> por</w:t>
      </w:r>
      <w:r w:rsidRPr="00FE0B84">
        <w:rPr>
          <w:rFonts w:cs="Times New Roman"/>
          <w:szCs w:val="22"/>
          <w:lang w:val="es-MX"/>
        </w:rPr>
        <w:t xml:space="preserve"> </w:t>
      </w:r>
      <w:r>
        <w:rPr>
          <w:rFonts w:cs="Times New Roman"/>
          <w:szCs w:val="22"/>
        </w:rPr>
        <w:t>los</w:t>
      </w:r>
      <w:r w:rsidRPr="00FE0B84">
        <w:rPr>
          <w:rFonts w:cs="Times New Roman"/>
          <w:szCs w:val="22"/>
        </w:rPr>
        <w:t xml:space="preserve"> subsidios </w:t>
      </w:r>
      <w:r w:rsidR="00ED4CC7">
        <w:rPr>
          <w:rFonts w:cs="Times New Roman"/>
          <w:szCs w:val="22"/>
        </w:rPr>
        <w:t xml:space="preserve">temporales </w:t>
      </w:r>
      <w:r w:rsidRPr="00D224FB">
        <w:rPr>
          <w:rFonts w:cs="Times New Roman"/>
          <w:szCs w:val="22"/>
        </w:rPr>
        <w:t xml:space="preserve">que se </w:t>
      </w:r>
      <w:r w:rsidR="001D7418">
        <w:rPr>
          <w:rFonts w:cs="Times New Roman"/>
          <w:szCs w:val="22"/>
        </w:rPr>
        <w:t xml:space="preserve">otorgaron </w:t>
      </w:r>
      <w:r w:rsidRPr="00D224FB">
        <w:rPr>
          <w:rFonts w:cs="Times New Roman"/>
          <w:szCs w:val="22"/>
        </w:rPr>
        <w:t>a</w:t>
      </w:r>
      <w:r w:rsidR="00650DA1">
        <w:rPr>
          <w:rFonts w:cs="Times New Roman"/>
          <w:szCs w:val="22"/>
        </w:rPr>
        <w:t xml:space="preserve"> las gasolinas </w:t>
      </w:r>
      <w:r w:rsidR="00195403">
        <w:rPr>
          <w:rFonts w:cs="Times New Roman"/>
          <w:szCs w:val="22"/>
        </w:rPr>
        <w:t xml:space="preserve">por parte </w:t>
      </w:r>
      <w:r w:rsidRPr="00FE0B84">
        <w:rPr>
          <w:rFonts w:cs="Times New Roman"/>
          <w:szCs w:val="22"/>
        </w:rPr>
        <w:t>gobierno central presupuestario</w:t>
      </w:r>
      <w:r w:rsidR="001D7418">
        <w:rPr>
          <w:rFonts w:cs="Times New Roman"/>
          <w:szCs w:val="22"/>
        </w:rPr>
        <w:t xml:space="preserve"> en 2022</w:t>
      </w:r>
      <w:r w:rsidR="00ED4CC7">
        <w:rPr>
          <w:rFonts w:cs="Times New Roman"/>
          <w:szCs w:val="22"/>
        </w:rPr>
        <w:t xml:space="preserve">, subsidios que no se han realizado en lo que va de </w:t>
      </w:r>
      <w:r w:rsidR="001D7418">
        <w:rPr>
          <w:rFonts w:cs="Times New Roman"/>
          <w:szCs w:val="22"/>
        </w:rPr>
        <w:t>2023.</w:t>
      </w:r>
      <w:r w:rsidRPr="00954142">
        <w:rPr>
          <w:rFonts w:cs="Times New Roman"/>
          <w:szCs w:val="22"/>
        </w:rPr>
        <w:t xml:space="preserve"> </w:t>
      </w:r>
    </w:p>
    <w:p w14:paraId="4E1E7B91" w14:textId="4C1BD057" w:rsidR="008B2529" w:rsidRPr="00954142" w:rsidRDefault="006122C1" w:rsidP="00C701B2">
      <w:pPr>
        <w:pStyle w:val="Ttulo1"/>
        <w:numPr>
          <w:ilvl w:val="0"/>
          <w:numId w:val="12"/>
        </w:numPr>
        <w:rPr>
          <w:lang w:val="es-MX"/>
        </w:rPr>
      </w:pPr>
      <w:bookmarkStart w:id="641" w:name="_Toc42023961"/>
      <w:bookmarkStart w:id="642" w:name="_Toc42024013"/>
      <w:bookmarkStart w:id="643" w:name="_Toc411347499"/>
      <w:bookmarkStart w:id="644" w:name="_Toc143170061"/>
      <w:bookmarkEnd w:id="641"/>
      <w:bookmarkEnd w:id="642"/>
      <w:r w:rsidRPr="00954142">
        <w:rPr>
          <w:lang w:val="es-MX"/>
        </w:rPr>
        <w:t xml:space="preserve">Transacciones en Activos </w:t>
      </w:r>
      <w:r w:rsidR="00F4077C" w:rsidRPr="00954142">
        <w:rPr>
          <w:lang w:val="es-MX"/>
        </w:rPr>
        <w:t>No Financieros</w:t>
      </w:r>
      <w:bookmarkEnd w:id="644"/>
    </w:p>
    <w:p w14:paraId="36A443F6" w14:textId="300785C8" w:rsidR="000F462B" w:rsidRPr="00954142" w:rsidRDefault="00790907" w:rsidP="000F462B">
      <w:pPr>
        <w:pStyle w:val="Ttulo2"/>
        <w:numPr>
          <w:ilvl w:val="1"/>
          <w:numId w:val="12"/>
        </w:numPr>
        <w:tabs>
          <w:tab w:val="left" w:pos="426"/>
        </w:tabs>
        <w:spacing w:before="0"/>
        <w:ind w:left="284" w:hanging="284"/>
        <w:rPr>
          <w:rFonts w:cs="Times New Roman"/>
          <w:sz w:val="22"/>
          <w:szCs w:val="22"/>
        </w:rPr>
      </w:pPr>
      <w:bookmarkStart w:id="645" w:name="_Toc33109793"/>
      <w:bookmarkStart w:id="646" w:name="_Toc33109836"/>
      <w:bookmarkStart w:id="647" w:name="_Toc33180557"/>
      <w:bookmarkStart w:id="648" w:name="_Toc33180651"/>
      <w:bookmarkStart w:id="649" w:name="_Toc33193548"/>
      <w:bookmarkStart w:id="650" w:name="_Toc33193587"/>
      <w:bookmarkStart w:id="651" w:name="_Toc33196784"/>
      <w:bookmarkStart w:id="652" w:name="_Toc40691760"/>
      <w:bookmarkStart w:id="653" w:name="_Toc40959160"/>
      <w:bookmarkStart w:id="654" w:name="_Toc40975994"/>
      <w:bookmarkStart w:id="655" w:name="_Toc40976063"/>
      <w:bookmarkStart w:id="656" w:name="_Toc40993318"/>
      <w:bookmarkStart w:id="657" w:name="_Toc40993700"/>
      <w:bookmarkStart w:id="658" w:name="_Toc41037576"/>
      <w:bookmarkStart w:id="659" w:name="_Toc41254136"/>
      <w:bookmarkStart w:id="660" w:name="_Toc41254168"/>
      <w:bookmarkStart w:id="661" w:name="_Toc41254188"/>
      <w:bookmarkStart w:id="662" w:name="_Toc42023964"/>
      <w:bookmarkStart w:id="663" w:name="_Toc42024015"/>
      <w:bookmarkStart w:id="664" w:name="_Toc42069112"/>
      <w:bookmarkStart w:id="665" w:name="_Toc49422058"/>
      <w:bookmarkStart w:id="666" w:name="_Toc49422084"/>
      <w:bookmarkStart w:id="667" w:name="_Toc49430663"/>
      <w:bookmarkStart w:id="668" w:name="_Toc49430689"/>
      <w:bookmarkStart w:id="669" w:name="_Toc49750466"/>
      <w:bookmarkStart w:id="670" w:name="_Toc49750716"/>
      <w:bookmarkStart w:id="671" w:name="_Toc49750744"/>
      <w:bookmarkStart w:id="672" w:name="_Toc55284830"/>
      <w:bookmarkStart w:id="673" w:name="_Toc55298848"/>
      <w:bookmarkStart w:id="674" w:name="_Toc55373829"/>
      <w:bookmarkStart w:id="675" w:name="_Toc55374002"/>
      <w:bookmarkStart w:id="676" w:name="_Toc55375139"/>
      <w:bookmarkStart w:id="677" w:name="_Toc55396547"/>
      <w:bookmarkStart w:id="678" w:name="_Toc65230544"/>
      <w:bookmarkStart w:id="679" w:name="_Toc65230782"/>
      <w:bookmarkStart w:id="680" w:name="_Toc65232066"/>
      <w:bookmarkStart w:id="681" w:name="_Toc65232311"/>
      <w:bookmarkStart w:id="682" w:name="_Toc66716170"/>
      <w:bookmarkStart w:id="683" w:name="_Toc71097214"/>
      <w:bookmarkStart w:id="684" w:name="_Toc71097245"/>
      <w:bookmarkStart w:id="685" w:name="_Toc71097320"/>
      <w:bookmarkStart w:id="686" w:name="_Toc71108060"/>
      <w:bookmarkStart w:id="687" w:name="_Toc79055254"/>
      <w:bookmarkStart w:id="688" w:name="_Toc79055285"/>
      <w:bookmarkStart w:id="689" w:name="_Toc79060176"/>
      <w:bookmarkStart w:id="690" w:name="_Toc79060463"/>
      <w:bookmarkStart w:id="691" w:name="_Toc81307820"/>
      <w:bookmarkStart w:id="692" w:name="_Toc83376481"/>
      <w:bookmarkStart w:id="693" w:name="_Toc86386720"/>
      <w:bookmarkStart w:id="694" w:name="_Toc86405406"/>
      <w:bookmarkStart w:id="695" w:name="_Toc98162436"/>
      <w:bookmarkStart w:id="696" w:name="_Toc98162468"/>
      <w:bookmarkStart w:id="697" w:name="_Toc98234994"/>
      <w:bookmarkStart w:id="698" w:name="_Toc98235189"/>
      <w:bookmarkStart w:id="699" w:name="_Toc98235274"/>
      <w:bookmarkStart w:id="700" w:name="_Toc98757144"/>
      <w:bookmarkStart w:id="701" w:name="_Toc101874699"/>
      <w:bookmarkStart w:id="702" w:name="_Toc101954155"/>
      <w:bookmarkStart w:id="703" w:name="_Toc101971972"/>
      <w:bookmarkStart w:id="704" w:name="_Toc101974064"/>
      <w:bookmarkStart w:id="705" w:name="_Toc102039749"/>
      <w:bookmarkStart w:id="706" w:name="_Toc102039787"/>
      <w:bookmarkStart w:id="707" w:name="_Toc102039827"/>
      <w:bookmarkStart w:id="708" w:name="_Toc102039858"/>
      <w:bookmarkStart w:id="709" w:name="_Toc102040916"/>
      <w:bookmarkStart w:id="710" w:name="_Toc102477764"/>
      <w:bookmarkStart w:id="711" w:name="_Toc102477795"/>
      <w:bookmarkStart w:id="712" w:name="_Toc109824825"/>
      <w:bookmarkStart w:id="713" w:name="_Toc109828781"/>
      <w:bookmarkStart w:id="714" w:name="_Toc109828844"/>
      <w:bookmarkStart w:id="715" w:name="_Toc109829020"/>
      <w:bookmarkStart w:id="716" w:name="_Toc109829051"/>
      <w:bookmarkStart w:id="717" w:name="_Toc109833895"/>
      <w:bookmarkStart w:id="718" w:name="_Toc110237438"/>
      <w:bookmarkStart w:id="719" w:name="_Toc117775315"/>
      <w:bookmarkStart w:id="720" w:name="_Toc117781284"/>
      <w:bookmarkStart w:id="721" w:name="_Toc125620813"/>
      <w:bookmarkStart w:id="722" w:name="_Toc125620844"/>
      <w:bookmarkStart w:id="723" w:name="_Toc125620875"/>
      <w:bookmarkStart w:id="724" w:name="_Toc125620911"/>
      <w:bookmarkStart w:id="725" w:name="_Toc125620942"/>
      <w:bookmarkStart w:id="726" w:name="_Toc125620975"/>
      <w:bookmarkStart w:id="727" w:name="_Toc125621028"/>
      <w:bookmarkStart w:id="728" w:name="_Toc125621082"/>
      <w:bookmarkStart w:id="729" w:name="_Toc125623560"/>
      <w:bookmarkStart w:id="730" w:name="_Toc125623592"/>
      <w:bookmarkStart w:id="731" w:name="_Toc125623624"/>
      <w:bookmarkStart w:id="732" w:name="_Toc125970370"/>
      <w:bookmarkStart w:id="733" w:name="_Toc125970402"/>
      <w:bookmarkStart w:id="734" w:name="_Toc127365853"/>
      <w:bookmarkStart w:id="735" w:name="_Toc127434604"/>
      <w:bookmarkStart w:id="736" w:name="_Toc127436972"/>
      <w:bookmarkStart w:id="737" w:name="_Toc127437333"/>
      <w:bookmarkStart w:id="738" w:name="_Toc127437688"/>
      <w:bookmarkStart w:id="739" w:name="_Toc143170062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r>
        <w:rPr>
          <w:rFonts w:cs="Times New Roman"/>
          <w:sz w:val="22"/>
          <w:szCs w:val="22"/>
        </w:rPr>
        <w:t>Repunte de la inversi</w:t>
      </w:r>
      <w:r w:rsidR="00832C13">
        <w:rPr>
          <w:rFonts w:cs="Times New Roman"/>
          <w:sz w:val="22"/>
          <w:szCs w:val="22"/>
        </w:rPr>
        <w:t>ó</w:t>
      </w:r>
      <w:r>
        <w:rPr>
          <w:rFonts w:cs="Times New Roman"/>
          <w:sz w:val="22"/>
          <w:szCs w:val="22"/>
        </w:rPr>
        <w:t>n</w:t>
      </w:r>
      <w:bookmarkEnd w:id="739"/>
    </w:p>
    <w:p w14:paraId="461BE89E" w14:textId="77777777" w:rsidR="00F923CA" w:rsidRDefault="003936E8" w:rsidP="00AC237D">
      <w:r w:rsidRPr="00954142">
        <w:rPr>
          <w:rFonts w:eastAsiaTheme="majorEastAsia"/>
          <w:noProof/>
          <w:lang w:eastAsia="es-GT"/>
        </w:rPr>
        <w:drawing>
          <wp:anchor distT="0" distB="0" distL="114300" distR="114300" simplePos="0" relativeHeight="251658251" behindDoc="0" locked="0" layoutInCell="1" allowOverlap="1" wp14:anchorId="47E7C073" wp14:editId="234268F1">
            <wp:simplePos x="0" y="0"/>
            <wp:positionH relativeFrom="margin">
              <wp:posOffset>2907386</wp:posOffset>
            </wp:positionH>
            <wp:positionV relativeFrom="paragraph">
              <wp:posOffset>25146</wp:posOffset>
            </wp:positionV>
            <wp:extent cx="3078480" cy="1412240"/>
            <wp:effectExtent l="57150" t="0" r="121920" b="16510"/>
            <wp:wrapSquare wrapText="bothSides"/>
            <wp:docPr id="1993548429" name="Diagrama 19935484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BDC">
        <w:t>E</w:t>
      </w:r>
      <w:r w:rsidR="00AC237D" w:rsidRPr="00954142">
        <w:t>l gobierno general</w:t>
      </w:r>
      <w:r w:rsidR="008C1F1B">
        <w:t xml:space="preserve"> al finalizar el segundo trimestre del </w:t>
      </w:r>
      <w:r w:rsidR="003B3195">
        <w:t>año</w:t>
      </w:r>
      <w:r w:rsidR="008C1F1B">
        <w:t xml:space="preserve"> realizó</w:t>
      </w:r>
      <w:r w:rsidR="00AC237D">
        <w:t xml:space="preserve"> </w:t>
      </w:r>
      <w:r w:rsidR="00AC237D" w:rsidRPr="00954142">
        <w:t>una inversión bruta en activos no financieros por Q</w:t>
      </w:r>
      <w:r w:rsidR="003B3195" w:rsidRPr="003B3195">
        <w:t xml:space="preserve">8,597.1 </w:t>
      </w:r>
      <w:r w:rsidR="00AC237D" w:rsidRPr="00954142">
        <w:t xml:space="preserve">millones, </w:t>
      </w:r>
      <w:r w:rsidR="003B3195">
        <w:t xml:space="preserve">siendo un aumento </w:t>
      </w:r>
      <w:r w:rsidR="00F923CA">
        <w:t xml:space="preserve">interanual </w:t>
      </w:r>
      <w:r w:rsidR="003B3195">
        <w:t>del 37.8</w:t>
      </w:r>
      <w:r w:rsidR="00F923CA">
        <w:t>%</w:t>
      </w:r>
      <w:r w:rsidR="00F923CA" w:rsidRPr="00954142">
        <w:t xml:space="preserve"> (</w:t>
      </w:r>
      <w:r w:rsidR="00AC237D" w:rsidRPr="00954142">
        <w:t>Q</w:t>
      </w:r>
      <w:r w:rsidR="00F923CA" w:rsidRPr="00F923CA">
        <w:t xml:space="preserve">2,359.2 </w:t>
      </w:r>
      <w:r w:rsidR="00AC237D" w:rsidRPr="00954142">
        <w:t xml:space="preserve">millones). </w:t>
      </w:r>
    </w:p>
    <w:p w14:paraId="3B0E53B4" w14:textId="13FA741F" w:rsidR="00AC237D" w:rsidRPr="00954142" w:rsidRDefault="00F923CA" w:rsidP="00AC237D">
      <w:r>
        <w:t xml:space="preserve">A nivel de </w:t>
      </w:r>
      <w:r w:rsidR="00AC237D">
        <w:t>subsectores</w:t>
      </w:r>
      <w:r>
        <w:t>,</w:t>
      </w:r>
      <w:r w:rsidR="00AC237D">
        <w:t xml:space="preserve"> </w:t>
      </w:r>
      <w:r w:rsidR="00AC237D" w:rsidRPr="00D60638">
        <w:t>los gobiernos locales</w:t>
      </w:r>
      <w:r>
        <w:t xml:space="preserve"> son quienes han realizado la mayor parte de la inversión siendo </w:t>
      </w:r>
      <w:r w:rsidR="00ED4CC7">
        <w:t xml:space="preserve">esta </w:t>
      </w:r>
      <w:r>
        <w:t>el</w:t>
      </w:r>
      <w:r w:rsidR="00AC237D" w:rsidRPr="00D60638">
        <w:t xml:space="preserve"> 6</w:t>
      </w:r>
      <w:r w:rsidR="00631CD7">
        <w:t>4</w:t>
      </w:r>
      <w:r w:rsidR="00AC237D" w:rsidRPr="00D60638">
        <w:t>.</w:t>
      </w:r>
      <w:r w:rsidR="00631CD7">
        <w:t>9</w:t>
      </w:r>
      <w:r w:rsidR="00AC237D" w:rsidRPr="00D60638">
        <w:t>% de</w:t>
      </w:r>
      <w:r w:rsidR="00FC29D4">
        <w:t xml:space="preserve">l total de la inversión realizada </w:t>
      </w:r>
      <w:r w:rsidR="00083DC1">
        <w:t>por el gobierno general</w:t>
      </w:r>
      <w:r w:rsidR="00AC237D" w:rsidRPr="00D60638">
        <w:t>, seguido del gobierno central presupuestario</w:t>
      </w:r>
      <w:r w:rsidR="00083DC1">
        <w:t xml:space="preserve"> con una participación del 28.2</w:t>
      </w:r>
      <w:r w:rsidR="00AC237D" w:rsidRPr="00D60638">
        <w:t>%,</w:t>
      </w:r>
      <w:r w:rsidR="000B2481">
        <w:t xml:space="preserve"> el gobierno central extrapresupuestario realizó el 3.6% y </w:t>
      </w:r>
      <w:r w:rsidR="00AC237D" w:rsidRPr="00D60638">
        <w:t>los fondos de seguridad social ejecuta</w:t>
      </w:r>
      <w:r w:rsidR="000B2481">
        <w:t>ron</w:t>
      </w:r>
      <w:r w:rsidR="00AC237D" w:rsidRPr="00D60638">
        <w:t xml:space="preserve"> </w:t>
      </w:r>
      <w:r w:rsidR="000B2481">
        <w:t>el 3</w:t>
      </w:r>
      <w:r w:rsidR="00AC237D" w:rsidRPr="00D60638">
        <w:t>.</w:t>
      </w:r>
      <w:r w:rsidR="003B4FD2">
        <w:t>3</w:t>
      </w:r>
      <w:r w:rsidR="00AC237D" w:rsidRPr="00D60638">
        <w:t xml:space="preserve">% </w:t>
      </w:r>
      <w:r w:rsidR="000B2481">
        <w:t>restante</w:t>
      </w:r>
      <w:r w:rsidR="00AC237D" w:rsidRPr="00D60638">
        <w:t>.</w:t>
      </w:r>
    </w:p>
    <w:p w14:paraId="249350DC" w14:textId="0A4590D2" w:rsidR="00284CEE" w:rsidRDefault="0093113C" w:rsidP="00AC237D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La inversión en </w:t>
      </w:r>
      <w:r w:rsidR="00AC237D" w:rsidRPr="00954142">
        <w:rPr>
          <w:rFonts w:cs="Times New Roman"/>
          <w:szCs w:val="22"/>
        </w:rPr>
        <w:t>activos fijos</w:t>
      </w:r>
      <w:r w:rsidR="00A9101A">
        <w:rPr>
          <w:rFonts w:cs="Times New Roman"/>
          <w:szCs w:val="22"/>
        </w:rPr>
        <w:t xml:space="preserve"> es la más significativa</w:t>
      </w:r>
      <w:r w:rsidR="00D32576">
        <w:rPr>
          <w:rFonts w:cs="Times New Roman"/>
          <w:szCs w:val="22"/>
        </w:rPr>
        <w:t xml:space="preserve">, </w:t>
      </w:r>
      <w:r w:rsidR="00832983">
        <w:rPr>
          <w:rFonts w:cs="Times New Roman"/>
          <w:szCs w:val="22"/>
        </w:rPr>
        <w:t>a junio</w:t>
      </w:r>
      <w:r w:rsidR="00A9101A">
        <w:rPr>
          <w:rFonts w:cs="Times New Roman"/>
          <w:szCs w:val="22"/>
        </w:rPr>
        <w:t xml:space="preserve"> ascendiendo a Q</w:t>
      </w:r>
      <w:r w:rsidR="00A9101A" w:rsidRPr="00A9101A">
        <w:rPr>
          <w:rFonts w:cs="Times New Roman"/>
          <w:szCs w:val="22"/>
        </w:rPr>
        <w:t>8,378.3</w:t>
      </w:r>
      <w:r w:rsidR="00A9101A">
        <w:rPr>
          <w:rFonts w:cs="Times New Roman"/>
          <w:szCs w:val="22"/>
        </w:rPr>
        <w:t xml:space="preserve"> millones y de esta cuenta, </w:t>
      </w:r>
      <w:r w:rsidR="00D46619">
        <w:rPr>
          <w:rFonts w:cs="Times New Roman"/>
          <w:szCs w:val="22"/>
        </w:rPr>
        <w:t xml:space="preserve">la inversión realizada en </w:t>
      </w:r>
      <w:r w:rsidR="00AC237D" w:rsidRPr="00954142">
        <w:rPr>
          <w:rFonts w:cs="Times New Roman"/>
          <w:szCs w:val="22"/>
        </w:rPr>
        <w:t>edificios y estructuras</w:t>
      </w:r>
      <w:r w:rsidR="00D46619">
        <w:rPr>
          <w:rFonts w:cs="Times New Roman"/>
          <w:szCs w:val="22"/>
        </w:rPr>
        <w:t xml:space="preserve"> fue de Q</w:t>
      </w:r>
      <w:r w:rsidR="00D46619" w:rsidRPr="00D46619">
        <w:rPr>
          <w:rFonts w:cs="Times New Roman"/>
          <w:szCs w:val="22"/>
        </w:rPr>
        <w:t>7,545.3</w:t>
      </w:r>
      <w:r w:rsidR="00D46619">
        <w:rPr>
          <w:rFonts w:cs="Times New Roman"/>
          <w:szCs w:val="22"/>
        </w:rPr>
        <w:t xml:space="preserve"> </w:t>
      </w:r>
      <w:r w:rsidR="00D46619" w:rsidRPr="006767AE">
        <w:rPr>
          <w:rFonts w:cs="Times New Roman"/>
          <w:szCs w:val="22"/>
        </w:rPr>
        <w:t>millones con un crecimiento del 28.4% (Q1,670.8 millones</w:t>
      </w:r>
      <w:r w:rsidR="003478C9" w:rsidRPr="006767AE">
        <w:rPr>
          <w:rFonts w:cs="Times New Roman"/>
          <w:szCs w:val="22"/>
        </w:rPr>
        <w:t xml:space="preserve">) explicado principalmente por </w:t>
      </w:r>
      <w:r w:rsidR="00AC237D" w:rsidRPr="006767AE">
        <w:rPr>
          <w:rFonts w:cs="Times New Roman"/>
          <w:szCs w:val="22"/>
        </w:rPr>
        <w:t>las construcciones de bienes nacionales de uso común (</w:t>
      </w:r>
      <w:r w:rsidR="0096300A" w:rsidRPr="006767AE">
        <w:rPr>
          <w:rFonts w:cs="Times New Roman"/>
          <w:szCs w:val="22"/>
        </w:rPr>
        <w:t xml:space="preserve">esta categoría </w:t>
      </w:r>
      <w:r w:rsidR="00AC237D" w:rsidRPr="006767AE">
        <w:rPr>
          <w:rFonts w:cs="Times New Roman"/>
          <w:szCs w:val="22"/>
        </w:rPr>
        <w:t>incluye</w:t>
      </w:r>
      <w:r w:rsidR="00AC237D" w:rsidRPr="00946565">
        <w:rPr>
          <w:rFonts w:cs="Times New Roman"/>
          <w:szCs w:val="22"/>
        </w:rPr>
        <w:t xml:space="preserve"> la construcción de </w:t>
      </w:r>
      <w:r w:rsidR="00AC237D">
        <w:rPr>
          <w:rFonts w:cs="Times New Roman"/>
          <w:szCs w:val="22"/>
        </w:rPr>
        <w:t>calles, parques, plazas,</w:t>
      </w:r>
      <w:r w:rsidR="00AC237D" w:rsidRPr="00DE1868">
        <w:rPr>
          <w:rFonts w:cs="Times New Roman"/>
          <w:szCs w:val="22"/>
        </w:rPr>
        <w:t xml:space="preserve"> entre otros)</w:t>
      </w:r>
      <w:r w:rsidR="00B14BAC">
        <w:rPr>
          <w:rFonts w:cs="Times New Roman"/>
          <w:szCs w:val="22"/>
        </w:rPr>
        <w:t xml:space="preserve"> que se sitúa en </w:t>
      </w:r>
      <w:r w:rsidR="00AC237D" w:rsidRPr="00DE1868">
        <w:rPr>
          <w:rFonts w:cs="Times New Roman"/>
          <w:szCs w:val="22"/>
        </w:rPr>
        <w:t>Q</w:t>
      </w:r>
      <w:r w:rsidR="00B14BAC" w:rsidRPr="00B14BAC">
        <w:rPr>
          <w:rFonts w:cs="Times New Roman"/>
          <w:szCs w:val="22"/>
        </w:rPr>
        <w:t>3,212.</w:t>
      </w:r>
      <w:r w:rsidR="000552A7">
        <w:rPr>
          <w:rFonts w:cs="Times New Roman"/>
          <w:szCs w:val="22"/>
        </w:rPr>
        <w:t>5</w:t>
      </w:r>
      <w:r w:rsidR="00AC237D" w:rsidRPr="00DE1868">
        <w:rPr>
          <w:rFonts w:cs="Times New Roman"/>
          <w:szCs w:val="22"/>
        </w:rPr>
        <w:t xml:space="preserve"> millones</w:t>
      </w:r>
      <w:r w:rsidR="00ED4CC7">
        <w:rPr>
          <w:rFonts w:cs="Times New Roman"/>
          <w:szCs w:val="22"/>
        </w:rPr>
        <w:t>,</w:t>
      </w:r>
      <w:r w:rsidR="00AC237D" w:rsidRPr="00DE1868">
        <w:rPr>
          <w:rFonts w:cs="Times New Roman"/>
          <w:szCs w:val="22"/>
        </w:rPr>
        <w:t xml:space="preserve"> </w:t>
      </w:r>
      <w:r w:rsidR="00B14BAC">
        <w:rPr>
          <w:rFonts w:cs="Times New Roman"/>
          <w:szCs w:val="22"/>
        </w:rPr>
        <w:t xml:space="preserve">con un crecimiento interanual </w:t>
      </w:r>
      <w:r w:rsidR="00AC237D" w:rsidRPr="00DE1868">
        <w:rPr>
          <w:rFonts w:cs="Times New Roman"/>
          <w:szCs w:val="22"/>
        </w:rPr>
        <w:t>del 1</w:t>
      </w:r>
      <w:r w:rsidR="006E016F">
        <w:rPr>
          <w:rFonts w:cs="Times New Roman"/>
          <w:szCs w:val="22"/>
        </w:rPr>
        <w:t>5</w:t>
      </w:r>
      <w:r w:rsidR="00AC237D" w:rsidRPr="00DE1868">
        <w:rPr>
          <w:rFonts w:cs="Times New Roman"/>
          <w:szCs w:val="22"/>
        </w:rPr>
        <w:t>.0% (Q</w:t>
      </w:r>
      <w:r w:rsidR="0021596A">
        <w:rPr>
          <w:rFonts w:cs="Times New Roman"/>
          <w:szCs w:val="22"/>
        </w:rPr>
        <w:t>420</w:t>
      </w:r>
      <w:r w:rsidR="00AC237D" w:rsidRPr="00DE1868">
        <w:rPr>
          <w:rFonts w:cs="Times New Roman"/>
          <w:szCs w:val="22"/>
        </w:rPr>
        <w:t>.</w:t>
      </w:r>
      <w:r w:rsidR="00DB48D6">
        <w:rPr>
          <w:rFonts w:cs="Times New Roman"/>
          <w:szCs w:val="22"/>
        </w:rPr>
        <w:t>0</w:t>
      </w:r>
      <w:r w:rsidR="00AC237D" w:rsidRPr="00DE1868">
        <w:rPr>
          <w:rFonts w:cs="Times New Roman"/>
          <w:szCs w:val="22"/>
        </w:rPr>
        <w:t xml:space="preserve"> millones)</w:t>
      </w:r>
      <w:r w:rsidR="00942D56">
        <w:rPr>
          <w:rFonts w:cs="Times New Roman"/>
          <w:szCs w:val="22"/>
        </w:rPr>
        <w:t>,</w:t>
      </w:r>
      <w:r w:rsidR="00AC237D">
        <w:rPr>
          <w:rFonts w:cs="Times New Roman"/>
          <w:szCs w:val="22"/>
        </w:rPr>
        <w:t xml:space="preserve"> </w:t>
      </w:r>
      <w:r w:rsidR="00AC237D" w:rsidRPr="00932A16">
        <w:rPr>
          <w:rFonts w:cs="Times New Roman"/>
          <w:szCs w:val="22"/>
        </w:rPr>
        <w:t>seguido de la inversión en construcciones de bienes nacionales de uso no común (</w:t>
      </w:r>
      <w:r w:rsidR="00DB48D6">
        <w:rPr>
          <w:rFonts w:cs="Times New Roman"/>
          <w:szCs w:val="22"/>
        </w:rPr>
        <w:t xml:space="preserve">el cual </w:t>
      </w:r>
      <w:r w:rsidR="00AC237D" w:rsidRPr="00932A16">
        <w:rPr>
          <w:rFonts w:cs="Times New Roman"/>
          <w:szCs w:val="22"/>
        </w:rPr>
        <w:t xml:space="preserve">incluye la construcción de escuelas, hospitales y </w:t>
      </w:r>
      <w:r w:rsidR="00AC237D" w:rsidRPr="00F72389">
        <w:rPr>
          <w:rFonts w:cs="Times New Roman"/>
          <w:szCs w:val="22"/>
        </w:rPr>
        <w:t>edificios entre otros)</w:t>
      </w:r>
      <w:r w:rsidR="00DB48D6">
        <w:rPr>
          <w:rFonts w:cs="Times New Roman"/>
          <w:szCs w:val="22"/>
        </w:rPr>
        <w:t xml:space="preserve"> con una ejecución de </w:t>
      </w:r>
      <w:r w:rsidR="00AC237D" w:rsidRPr="00F72389">
        <w:rPr>
          <w:rFonts w:cs="Times New Roman"/>
          <w:szCs w:val="22"/>
        </w:rPr>
        <w:t>Q</w:t>
      </w:r>
      <w:r w:rsidR="00DB48D6" w:rsidRPr="00DB48D6">
        <w:rPr>
          <w:rFonts w:cs="Times New Roman"/>
          <w:szCs w:val="22"/>
        </w:rPr>
        <w:t>1,225.2</w:t>
      </w:r>
      <w:r w:rsidR="00AC237D" w:rsidRPr="00F72389">
        <w:rPr>
          <w:rFonts w:cs="Times New Roman"/>
          <w:szCs w:val="22"/>
        </w:rPr>
        <w:t xml:space="preserve"> millones</w:t>
      </w:r>
      <w:r w:rsidR="006F2D2E">
        <w:rPr>
          <w:rFonts w:cs="Times New Roman"/>
          <w:szCs w:val="22"/>
        </w:rPr>
        <w:t xml:space="preserve"> y</w:t>
      </w:r>
      <w:r w:rsidR="00AC237D" w:rsidRPr="00F72389">
        <w:rPr>
          <w:rFonts w:cs="Times New Roman"/>
          <w:szCs w:val="22"/>
        </w:rPr>
        <w:t xml:space="preserve"> </w:t>
      </w:r>
      <w:r w:rsidR="006F2D2E">
        <w:rPr>
          <w:rFonts w:cs="Times New Roman"/>
          <w:szCs w:val="22"/>
        </w:rPr>
        <w:t xml:space="preserve">una </w:t>
      </w:r>
      <w:r w:rsidR="00AC237D" w:rsidRPr="00F72389">
        <w:rPr>
          <w:rFonts w:cs="Times New Roman"/>
          <w:szCs w:val="22"/>
        </w:rPr>
        <w:t xml:space="preserve">variación interanual de </w:t>
      </w:r>
      <w:r w:rsidR="00EA6436">
        <w:rPr>
          <w:rFonts w:cs="Times New Roman"/>
          <w:szCs w:val="22"/>
        </w:rPr>
        <w:t>98</w:t>
      </w:r>
      <w:r w:rsidR="00AC237D" w:rsidRPr="00F72389">
        <w:rPr>
          <w:rFonts w:cs="Times New Roman"/>
          <w:szCs w:val="22"/>
        </w:rPr>
        <w:t>.</w:t>
      </w:r>
      <w:r w:rsidR="00EA6436">
        <w:rPr>
          <w:rFonts w:cs="Times New Roman"/>
          <w:szCs w:val="22"/>
        </w:rPr>
        <w:t>6</w:t>
      </w:r>
      <w:r w:rsidR="00AC237D" w:rsidRPr="00F72389">
        <w:rPr>
          <w:rFonts w:cs="Times New Roman"/>
          <w:szCs w:val="22"/>
        </w:rPr>
        <w:t>% (Q</w:t>
      </w:r>
      <w:r w:rsidR="00EA6436">
        <w:rPr>
          <w:rFonts w:cs="Times New Roman"/>
          <w:szCs w:val="22"/>
        </w:rPr>
        <w:t>608.</w:t>
      </w:r>
      <w:r w:rsidR="000552A7">
        <w:rPr>
          <w:rFonts w:cs="Times New Roman"/>
          <w:szCs w:val="22"/>
        </w:rPr>
        <w:t>2</w:t>
      </w:r>
      <w:r w:rsidR="00AC237D" w:rsidRPr="00F72389">
        <w:rPr>
          <w:rFonts w:cs="Times New Roman"/>
          <w:szCs w:val="22"/>
        </w:rPr>
        <w:t xml:space="preserve"> millones). </w:t>
      </w:r>
    </w:p>
    <w:p w14:paraId="60675D19" w14:textId="0994AB68" w:rsidR="00A90ED3" w:rsidRPr="00954142" w:rsidRDefault="00A90ED3" w:rsidP="00AC237D">
      <w:pPr>
        <w:rPr>
          <w:rFonts w:cs="Times New Roman"/>
          <w:szCs w:val="22"/>
        </w:rPr>
      </w:pPr>
      <w:r w:rsidRPr="00954142">
        <w:rPr>
          <w:rFonts w:cs="Times New Roman"/>
          <w:noProof/>
          <w:szCs w:val="22"/>
          <w:lang w:eastAsia="es-GT"/>
        </w:rPr>
        <w:drawing>
          <wp:inline distT="0" distB="0" distL="0" distR="0" wp14:anchorId="12AB5EFB" wp14:editId="65975614">
            <wp:extent cx="6011545" cy="2446317"/>
            <wp:effectExtent l="0" t="0" r="8255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2ADD9C0" w14:textId="77777777" w:rsidR="00B435E7" w:rsidRPr="00954142" w:rsidRDefault="001D54E4" w:rsidP="00C701B2">
      <w:pPr>
        <w:pStyle w:val="Ttulo1"/>
        <w:numPr>
          <w:ilvl w:val="0"/>
          <w:numId w:val="12"/>
        </w:numPr>
        <w:rPr>
          <w:lang w:val="es-MX"/>
        </w:rPr>
      </w:pPr>
      <w:bookmarkStart w:id="740" w:name="_Toc42023966"/>
      <w:bookmarkStart w:id="741" w:name="_Toc42024017"/>
      <w:bookmarkStart w:id="742" w:name="_Toc42023967"/>
      <w:bookmarkStart w:id="743" w:name="_Toc42024018"/>
      <w:bookmarkStart w:id="744" w:name="_Toc143170063"/>
      <w:bookmarkEnd w:id="740"/>
      <w:bookmarkEnd w:id="741"/>
      <w:bookmarkEnd w:id="742"/>
      <w:bookmarkEnd w:id="743"/>
      <w:r w:rsidRPr="00954142">
        <w:rPr>
          <w:lang w:val="es-MX"/>
        </w:rPr>
        <w:lastRenderedPageBreak/>
        <w:t>Financiamiento</w:t>
      </w:r>
      <w:bookmarkEnd w:id="744"/>
    </w:p>
    <w:p w14:paraId="52D94915" w14:textId="7CFD715E" w:rsidR="00E44C78" w:rsidRPr="00954142" w:rsidRDefault="002947DE" w:rsidP="00E44C78">
      <w:pPr>
        <w:pStyle w:val="Ttulo2"/>
        <w:numPr>
          <w:ilvl w:val="1"/>
          <w:numId w:val="12"/>
        </w:numPr>
        <w:tabs>
          <w:tab w:val="left" w:pos="426"/>
        </w:tabs>
        <w:spacing w:before="0"/>
        <w:rPr>
          <w:rFonts w:cs="Times New Roman"/>
          <w:sz w:val="22"/>
          <w:szCs w:val="22"/>
        </w:rPr>
      </w:pPr>
      <w:bookmarkStart w:id="745" w:name="_Toc55374005"/>
      <w:bookmarkStart w:id="746" w:name="_Toc55375142"/>
      <w:bookmarkStart w:id="747" w:name="_Toc55396550"/>
      <w:bookmarkStart w:id="748" w:name="_Toc65230547"/>
      <w:bookmarkStart w:id="749" w:name="_Toc65230785"/>
      <w:bookmarkStart w:id="750" w:name="_Toc65232069"/>
      <w:bookmarkStart w:id="751" w:name="_Toc65232314"/>
      <w:bookmarkStart w:id="752" w:name="_Toc66716173"/>
      <w:bookmarkStart w:id="753" w:name="_Toc71097217"/>
      <w:bookmarkStart w:id="754" w:name="_Toc71097248"/>
      <w:bookmarkStart w:id="755" w:name="_Toc71097323"/>
      <w:bookmarkStart w:id="756" w:name="_Toc71108063"/>
      <w:bookmarkStart w:id="757" w:name="_Toc79055257"/>
      <w:bookmarkStart w:id="758" w:name="_Toc79055288"/>
      <w:bookmarkStart w:id="759" w:name="_Toc79060179"/>
      <w:bookmarkStart w:id="760" w:name="_Toc79060466"/>
      <w:bookmarkStart w:id="761" w:name="_Toc81307823"/>
      <w:bookmarkStart w:id="762" w:name="_Toc83376484"/>
      <w:bookmarkStart w:id="763" w:name="_Toc86386723"/>
      <w:bookmarkStart w:id="764" w:name="_Toc86405409"/>
      <w:bookmarkStart w:id="765" w:name="_Toc98162439"/>
      <w:bookmarkStart w:id="766" w:name="_Toc98162471"/>
      <w:bookmarkStart w:id="767" w:name="_Toc98234997"/>
      <w:bookmarkStart w:id="768" w:name="_Toc98235192"/>
      <w:bookmarkStart w:id="769" w:name="_Toc98235277"/>
      <w:bookmarkStart w:id="770" w:name="_Toc98757147"/>
      <w:bookmarkStart w:id="771" w:name="_Toc101874702"/>
      <w:bookmarkStart w:id="772" w:name="_Toc101954158"/>
      <w:bookmarkStart w:id="773" w:name="_Toc101971975"/>
      <w:bookmarkStart w:id="774" w:name="_Toc101974067"/>
      <w:bookmarkStart w:id="775" w:name="_Toc102039752"/>
      <w:bookmarkStart w:id="776" w:name="_Toc102039790"/>
      <w:bookmarkStart w:id="777" w:name="_Toc102039830"/>
      <w:bookmarkStart w:id="778" w:name="_Toc102039861"/>
      <w:bookmarkStart w:id="779" w:name="_Toc102040919"/>
      <w:bookmarkStart w:id="780" w:name="_Toc102477767"/>
      <w:bookmarkStart w:id="781" w:name="_Toc102477798"/>
      <w:bookmarkStart w:id="782" w:name="_Toc109824828"/>
      <w:bookmarkStart w:id="783" w:name="_Toc109828784"/>
      <w:bookmarkStart w:id="784" w:name="_Toc109828847"/>
      <w:bookmarkStart w:id="785" w:name="_Toc109829023"/>
      <w:bookmarkStart w:id="786" w:name="_Toc109829054"/>
      <w:bookmarkStart w:id="787" w:name="_Toc109833898"/>
      <w:bookmarkStart w:id="788" w:name="_Toc110237441"/>
      <w:bookmarkStart w:id="789" w:name="_Toc117775318"/>
      <w:bookmarkStart w:id="790" w:name="_Toc117781287"/>
      <w:bookmarkStart w:id="791" w:name="_Toc125620816"/>
      <w:bookmarkStart w:id="792" w:name="_Toc125620847"/>
      <w:bookmarkStart w:id="793" w:name="_Toc125620878"/>
      <w:bookmarkStart w:id="794" w:name="_Toc125620914"/>
      <w:bookmarkStart w:id="795" w:name="_Toc125620945"/>
      <w:bookmarkStart w:id="796" w:name="_Toc125620978"/>
      <w:bookmarkStart w:id="797" w:name="_Toc125621031"/>
      <w:bookmarkStart w:id="798" w:name="_Toc125621085"/>
      <w:bookmarkStart w:id="799" w:name="_Toc125623563"/>
      <w:bookmarkStart w:id="800" w:name="_Toc125623595"/>
      <w:bookmarkStart w:id="801" w:name="_Toc125623627"/>
      <w:bookmarkStart w:id="802" w:name="_Toc125970373"/>
      <w:bookmarkStart w:id="803" w:name="_Toc125970405"/>
      <w:bookmarkStart w:id="804" w:name="_Toc127365856"/>
      <w:bookmarkStart w:id="805" w:name="_Toc127434607"/>
      <w:bookmarkStart w:id="806" w:name="_Toc127436975"/>
      <w:bookmarkStart w:id="807" w:name="_Toc127437336"/>
      <w:bookmarkStart w:id="808" w:name="_Toc127437691"/>
      <w:bookmarkStart w:id="809" w:name="_Toc14317006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r>
        <w:rPr>
          <w:rFonts w:cs="Times New Roman"/>
          <w:sz w:val="22"/>
          <w:szCs w:val="22"/>
        </w:rPr>
        <w:t xml:space="preserve">Incremento de </w:t>
      </w:r>
      <w:r w:rsidR="007B70FB" w:rsidRPr="00954142">
        <w:rPr>
          <w:rFonts w:cs="Times New Roman"/>
          <w:sz w:val="22"/>
          <w:szCs w:val="22"/>
        </w:rPr>
        <w:t>activos financieros</w:t>
      </w:r>
      <w:bookmarkEnd w:id="809"/>
    </w:p>
    <w:p w14:paraId="79FDDCFC" w14:textId="47E41EA0" w:rsidR="00E44C78" w:rsidRPr="00954142" w:rsidRDefault="00D84D92" w:rsidP="00D84D92">
      <w:r>
        <w:t xml:space="preserve">Al segundo trimestre de </w:t>
      </w:r>
      <w:r w:rsidR="009B1127">
        <w:t xml:space="preserve">2023 el gobierno general </w:t>
      </w:r>
      <w:r>
        <w:t xml:space="preserve">incrementó </w:t>
      </w:r>
      <w:r w:rsidR="00B7684C">
        <w:t xml:space="preserve">sus activos financieros </w:t>
      </w:r>
      <w:r w:rsidR="00225D19" w:rsidRPr="00954142">
        <w:t xml:space="preserve">en </w:t>
      </w:r>
      <w:r>
        <w:t>Q3,661.6</w:t>
      </w:r>
      <w:r w:rsidR="00225D19" w:rsidRPr="00954142">
        <w:t xml:space="preserve"> millones</w:t>
      </w:r>
      <w:r w:rsidR="00B457C3">
        <w:t>.</w:t>
      </w:r>
      <w:r w:rsidR="00984150" w:rsidRPr="00954142">
        <w:t xml:space="preserve"> </w:t>
      </w:r>
      <w:r w:rsidR="00B457C3">
        <w:t>E</w:t>
      </w:r>
      <w:r w:rsidR="00D54C55">
        <w:t xml:space="preserve">ste </w:t>
      </w:r>
      <w:r w:rsidR="00D54C55" w:rsidRPr="00302C7A">
        <w:t xml:space="preserve">comportamiento se </w:t>
      </w:r>
      <w:r w:rsidRPr="00302C7A">
        <w:t xml:space="preserve">explica por el incremento </w:t>
      </w:r>
      <w:r w:rsidR="00570392" w:rsidRPr="00302C7A">
        <w:t xml:space="preserve">de </w:t>
      </w:r>
      <w:r w:rsidRPr="00302C7A">
        <w:t xml:space="preserve">títulos de </w:t>
      </w:r>
      <w:r w:rsidR="0045002E" w:rsidRPr="00302C7A">
        <w:t>deuda en</w:t>
      </w:r>
      <w:r w:rsidRPr="00302C7A">
        <w:t xml:space="preserve"> </w:t>
      </w:r>
      <w:r w:rsidR="00570392" w:rsidRPr="00302C7A">
        <w:t>Q</w:t>
      </w:r>
      <w:r w:rsidRPr="00302C7A">
        <w:t>3</w:t>
      </w:r>
      <w:r w:rsidR="00570392" w:rsidRPr="00302C7A">
        <w:t>,</w:t>
      </w:r>
      <w:r w:rsidRPr="00302C7A">
        <w:t>170</w:t>
      </w:r>
      <w:r w:rsidR="00570392" w:rsidRPr="00302C7A">
        <w:t>.</w:t>
      </w:r>
      <w:r w:rsidRPr="00302C7A">
        <w:t>7</w:t>
      </w:r>
      <w:r w:rsidR="00570392" w:rsidRPr="00302C7A">
        <w:t xml:space="preserve"> millones</w:t>
      </w:r>
      <w:r w:rsidR="00E566CC" w:rsidRPr="00302C7A">
        <w:t xml:space="preserve"> (</w:t>
      </w:r>
      <w:r w:rsidR="00D13E43" w:rsidRPr="00302C7A">
        <w:t xml:space="preserve">principalmente </w:t>
      </w:r>
      <w:r w:rsidR="00144909" w:rsidRPr="00302C7A">
        <w:t>por parte de los fondos de seguridad social</w:t>
      </w:r>
      <w:r w:rsidR="00E566CC" w:rsidRPr="00302C7A">
        <w:t>)</w:t>
      </w:r>
      <w:r w:rsidR="00570392" w:rsidRPr="00302C7A">
        <w:t>,</w:t>
      </w:r>
      <w:r w:rsidR="00570392" w:rsidRPr="00954142">
        <w:t xml:space="preserve"> </w:t>
      </w:r>
      <w:r>
        <w:t xml:space="preserve">el incremento de </w:t>
      </w:r>
      <w:r w:rsidRPr="00954142">
        <w:t>los activos en forma de billetes, monedas y depósitos (caja y bancos)</w:t>
      </w:r>
      <w:r>
        <w:t xml:space="preserve"> por Q1,360.5 millones</w:t>
      </w:r>
      <w:r w:rsidR="007F6CB6">
        <w:t>,</w:t>
      </w:r>
      <w:r>
        <w:t xml:space="preserve"> </w:t>
      </w:r>
      <w:r w:rsidR="008351E2">
        <w:t>además de</w:t>
      </w:r>
      <w:r>
        <w:t xml:space="preserve"> la reducción de las otras cuentas por cobrar por Q730.2 millones</w:t>
      </w:r>
      <w:r w:rsidR="008351E2">
        <w:t xml:space="preserve"> y</w:t>
      </w:r>
      <w:r>
        <w:t xml:space="preserve"> la reducción</w:t>
      </w:r>
      <w:r w:rsidR="00DB035B">
        <w:t xml:space="preserve"> (recuperación)</w:t>
      </w:r>
      <w:r>
        <w:t xml:space="preserve"> de los préstamos por Q139.4 millones.</w:t>
      </w:r>
    </w:p>
    <w:p w14:paraId="0D166D80" w14:textId="3FB1CC92" w:rsidR="00470A42" w:rsidRPr="00954142" w:rsidRDefault="00470A42" w:rsidP="00B67B8F">
      <w:pPr>
        <w:spacing w:before="0" w:after="0"/>
        <w:jc w:val="center"/>
        <w:rPr>
          <w:b/>
          <w:bCs/>
          <w:sz w:val="22"/>
          <w:szCs w:val="22"/>
        </w:rPr>
      </w:pPr>
      <w:r w:rsidRPr="00954142">
        <w:rPr>
          <w:b/>
          <w:bCs/>
          <w:sz w:val="22"/>
          <w:szCs w:val="22"/>
        </w:rPr>
        <w:t xml:space="preserve">Incurrimiento neto de </w:t>
      </w:r>
      <w:r w:rsidR="00512290" w:rsidRPr="00954142">
        <w:rPr>
          <w:b/>
          <w:bCs/>
          <w:sz w:val="22"/>
          <w:szCs w:val="22"/>
        </w:rPr>
        <w:t>activos financieros</w:t>
      </w:r>
      <w:r w:rsidRPr="00954142">
        <w:rPr>
          <w:b/>
          <w:bCs/>
          <w:sz w:val="22"/>
          <w:szCs w:val="22"/>
        </w:rPr>
        <w:t xml:space="preserve"> </w:t>
      </w:r>
      <w:r w:rsidR="00FD7002" w:rsidRPr="00954142">
        <w:rPr>
          <w:b/>
          <w:bCs/>
          <w:sz w:val="22"/>
          <w:szCs w:val="22"/>
        </w:rPr>
        <w:t xml:space="preserve">a </w:t>
      </w:r>
      <w:r w:rsidR="00B8488B">
        <w:rPr>
          <w:b/>
          <w:bCs/>
          <w:sz w:val="22"/>
          <w:szCs w:val="22"/>
        </w:rPr>
        <w:t>junio</w:t>
      </w:r>
      <w:r w:rsidR="00FD7002" w:rsidRPr="00954142">
        <w:rPr>
          <w:b/>
          <w:bCs/>
          <w:sz w:val="22"/>
          <w:szCs w:val="22"/>
        </w:rPr>
        <w:t xml:space="preserve"> de </w:t>
      </w:r>
      <w:r w:rsidR="00ED71F1" w:rsidRPr="00954142">
        <w:rPr>
          <w:b/>
          <w:bCs/>
          <w:sz w:val="22"/>
          <w:szCs w:val="22"/>
        </w:rPr>
        <w:t>202</w:t>
      </w:r>
      <w:r w:rsidR="00EB2536">
        <w:rPr>
          <w:b/>
          <w:bCs/>
          <w:sz w:val="22"/>
          <w:szCs w:val="22"/>
        </w:rPr>
        <w:t>3</w:t>
      </w:r>
      <w:r w:rsidRPr="00954142">
        <w:rPr>
          <w:b/>
          <w:bCs/>
          <w:sz w:val="22"/>
          <w:szCs w:val="22"/>
        </w:rPr>
        <w:t>*</w:t>
      </w:r>
    </w:p>
    <w:p w14:paraId="30738EC2" w14:textId="673DB11B" w:rsidR="00470A42" w:rsidRPr="00954142" w:rsidRDefault="00470A42" w:rsidP="00B67B8F">
      <w:pPr>
        <w:spacing w:before="0" w:after="0"/>
        <w:jc w:val="center"/>
        <w:rPr>
          <w:sz w:val="22"/>
          <w:szCs w:val="22"/>
        </w:rPr>
      </w:pPr>
      <w:r w:rsidRPr="00954142">
        <w:rPr>
          <w:sz w:val="22"/>
          <w:szCs w:val="22"/>
        </w:rPr>
        <w:t xml:space="preserve">En millones de </w:t>
      </w:r>
      <w:r w:rsidR="003D1F3C" w:rsidRPr="00954142">
        <w:rPr>
          <w:sz w:val="22"/>
          <w:szCs w:val="22"/>
        </w:rPr>
        <w:t>q</w:t>
      </w:r>
      <w:r w:rsidRPr="00954142">
        <w:rPr>
          <w:sz w:val="22"/>
          <w:szCs w:val="22"/>
        </w:rPr>
        <w:t>uetzales</w:t>
      </w:r>
    </w:p>
    <w:p w14:paraId="5C387859" w14:textId="317A2EED" w:rsidR="00731535" w:rsidRPr="00954142" w:rsidRDefault="0069746E" w:rsidP="00B67B8F">
      <w:pPr>
        <w:spacing w:before="0" w:after="0"/>
        <w:jc w:val="center"/>
      </w:pPr>
      <w:r w:rsidRPr="00954142">
        <w:rPr>
          <w:b/>
          <w:bCs/>
          <w:noProof/>
          <w:lang w:eastAsia="es-GT"/>
        </w:rPr>
        <w:drawing>
          <wp:inline distT="0" distB="0" distL="0" distR="0" wp14:anchorId="2AABB9F9" wp14:editId="2903F7E3">
            <wp:extent cx="3303905" cy="2078182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460403" w:rsidRPr="00954142">
        <w:rPr>
          <w:noProof/>
          <w:lang w:eastAsia="es-GT"/>
        </w:rPr>
        <w:drawing>
          <wp:inline distT="0" distB="0" distL="0" distR="0" wp14:anchorId="376DCB10" wp14:editId="72297DF4">
            <wp:extent cx="2209800" cy="2030680"/>
            <wp:effectExtent l="0" t="0" r="0" b="825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D6DE04B" w14:textId="5E1F03EF" w:rsidR="001E71BF" w:rsidRPr="00954142" w:rsidRDefault="001E71BF" w:rsidP="00B67B8F">
      <w:pPr>
        <w:spacing w:before="0" w:after="0"/>
        <w:rPr>
          <w:rFonts w:cs="Times New Roman"/>
          <w:sz w:val="16"/>
          <w:szCs w:val="22"/>
          <w:lang w:val="es-MX"/>
        </w:rPr>
      </w:pPr>
      <w:r w:rsidRPr="00954142">
        <w:rPr>
          <w:rFonts w:cs="Times New Roman"/>
          <w:sz w:val="16"/>
          <w:szCs w:val="22"/>
          <w:lang w:val="es-MX"/>
        </w:rPr>
        <w:t>*Cifras preliminares</w:t>
      </w:r>
      <w:r w:rsidR="00D87D24" w:rsidRPr="00954142">
        <w:rPr>
          <w:rFonts w:cs="Times New Roman"/>
          <w:sz w:val="16"/>
          <w:szCs w:val="22"/>
          <w:lang w:val="es-MX"/>
        </w:rPr>
        <w:tab/>
      </w:r>
    </w:p>
    <w:p w14:paraId="7B42A803" w14:textId="77777777" w:rsidR="001E71BF" w:rsidRDefault="001E71BF" w:rsidP="00B67B8F">
      <w:pPr>
        <w:spacing w:before="0" w:after="0"/>
        <w:rPr>
          <w:rFonts w:cs="Times New Roman"/>
          <w:sz w:val="16"/>
          <w:szCs w:val="22"/>
          <w:lang w:val="es-MX"/>
        </w:rPr>
      </w:pPr>
      <w:r w:rsidRPr="00954142">
        <w:rPr>
          <w:rFonts w:cs="Times New Roman"/>
          <w:sz w:val="16"/>
          <w:szCs w:val="22"/>
          <w:lang w:val="es-MX"/>
        </w:rPr>
        <w:t>Fuente: MINFIN</w:t>
      </w:r>
    </w:p>
    <w:p w14:paraId="7576D7F2" w14:textId="77777777" w:rsidR="003C7991" w:rsidRPr="00954142" w:rsidRDefault="003C7991" w:rsidP="00B67B8F">
      <w:pPr>
        <w:spacing w:before="0" w:after="0"/>
        <w:rPr>
          <w:rFonts w:cs="Times New Roman"/>
          <w:sz w:val="16"/>
          <w:szCs w:val="22"/>
          <w:lang w:val="es-MX"/>
        </w:rPr>
      </w:pPr>
    </w:p>
    <w:p w14:paraId="19F7C5EB" w14:textId="7DBF5374" w:rsidR="0079227F" w:rsidRPr="00954142" w:rsidRDefault="00136038" w:rsidP="0039579C">
      <w:pPr>
        <w:pStyle w:val="Ttulo2"/>
        <w:numPr>
          <w:ilvl w:val="1"/>
          <w:numId w:val="12"/>
        </w:numPr>
        <w:tabs>
          <w:tab w:val="left" w:pos="426"/>
        </w:tabs>
        <w:spacing w:before="0"/>
        <w:rPr>
          <w:rFonts w:cs="Times New Roman"/>
          <w:sz w:val="22"/>
          <w:szCs w:val="22"/>
        </w:rPr>
      </w:pPr>
      <w:bookmarkStart w:id="810" w:name="_Toc143170065"/>
      <w:r>
        <w:rPr>
          <w:rFonts w:cs="Times New Roman"/>
          <w:sz w:val="22"/>
          <w:szCs w:val="22"/>
        </w:rPr>
        <w:t>I</w:t>
      </w:r>
      <w:r w:rsidR="00BB3EFE">
        <w:rPr>
          <w:rFonts w:cs="Times New Roman"/>
          <w:sz w:val="22"/>
          <w:szCs w:val="22"/>
        </w:rPr>
        <w:t>ncrement</w:t>
      </w:r>
      <w:r w:rsidR="006243FB">
        <w:rPr>
          <w:rFonts w:cs="Times New Roman"/>
          <w:sz w:val="22"/>
          <w:szCs w:val="22"/>
        </w:rPr>
        <w:t xml:space="preserve">o en los </w:t>
      </w:r>
      <w:r w:rsidR="00790907">
        <w:rPr>
          <w:rFonts w:cs="Times New Roman"/>
          <w:sz w:val="22"/>
          <w:szCs w:val="22"/>
        </w:rPr>
        <w:t>pasivos</w:t>
      </w:r>
      <w:bookmarkEnd w:id="810"/>
    </w:p>
    <w:p w14:paraId="5457DA79" w14:textId="601F4B7E" w:rsidR="00B30207" w:rsidRPr="00954142" w:rsidRDefault="007D1A83" w:rsidP="00B51EB8">
      <w:r>
        <w:t xml:space="preserve">Se </w:t>
      </w:r>
      <w:r w:rsidR="00B51EB8">
        <w:t xml:space="preserve">registra </w:t>
      </w:r>
      <w:r w:rsidR="003C7991">
        <w:t>u</w:t>
      </w:r>
      <w:r>
        <w:t xml:space="preserve">n </w:t>
      </w:r>
      <w:r w:rsidR="00B51EB8">
        <w:t xml:space="preserve">crecimiento por </w:t>
      </w:r>
      <w:r w:rsidR="00C8626D" w:rsidRPr="00954142">
        <w:t>Q</w:t>
      </w:r>
      <w:r w:rsidR="00B51EB8">
        <w:t>4,747.4</w:t>
      </w:r>
      <w:r w:rsidR="00C8626D" w:rsidRPr="00954142">
        <w:t xml:space="preserve"> </w:t>
      </w:r>
      <w:r w:rsidR="001A639D" w:rsidRPr="00954142">
        <w:t>millones</w:t>
      </w:r>
      <w:r>
        <w:t xml:space="preserve"> </w:t>
      </w:r>
      <w:r w:rsidR="000B0CA2">
        <w:t>en los pasivos</w:t>
      </w:r>
      <w:r w:rsidR="003C7991">
        <w:t xml:space="preserve">, específicamente en los </w:t>
      </w:r>
      <w:r w:rsidR="00B51EB8">
        <w:t>meses de mayo y junio, siendo el más pronunciado el mes de junio con Q7,248.0 millones</w:t>
      </w:r>
      <w:r w:rsidR="00ED4CC7">
        <w:t>,</w:t>
      </w:r>
      <w:r w:rsidR="00767824">
        <w:t xml:space="preserve"> </w:t>
      </w:r>
      <w:r w:rsidR="00432062">
        <w:t xml:space="preserve">producto </w:t>
      </w:r>
      <w:r w:rsidR="00767824">
        <w:t>por</w:t>
      </w:r>
      <w:r w:rsidR="00767824" w:rsidRPr="00767824">
        <w:t xml:space="preserve"> </w:t>
      </w:r>
      <w:r w:rsidR="00767824">
        <w:t xml:space="preserve">la colocación de Eurobonos por US$1,000 </w:t>
      </w:r>
      <w:r w:rsidR="00767824" w:rsidRPr="001B3B3A">
        <w:t>millones (</w:t>
      </w:r>
      <w:r w:rsidR="00767824" w:rsidRPr="001B3B3A">
        <w:rPr>
          <w:rFonts w:cs="Times New Roman"/>
        </w:rPr>
        <w:t>Q7,833.2 millones)</w:t>
      </w:r>
      <w:r w:rsidR="00767824" w:rsidRPr="00252A0E">
        <w:rPr>
          <w:rFonts w:cs="Times New Roman"/>
        </w:rPr>
        <w:t xml:space="preserve"> a un</w:t>
      </w:r>
      <w:r w:rsidR="00767824">
        <w:rPr>
          <w:rFonts w:cs="Times New Roman"/>
        </w:rPr>
        <w:t xml:space="preserve"> plazo de 12 años (con vencimiento en el 2035) y una tasa de cupón de 6.60</w:t>
      </w:r>
      <w:r w:rsidR="000B070A">
        <w:rPr>
          <w:rFonts w:cs="Times New Roman"/>
        </w:rPr>
        <w:t xml:space="preserve">% que realizó el gobierno central presupuestario </w:t>
      </w:r>
      <w:r w:rsidR="00767824">
        <w:rPr>
          <w:rFonts w:cs="Times New Roman"/>
        </w:rPr>
        <w:t xml:space="preserve">a principios de </w:t>
      </w:r>
      <w:r w:rsidR="00824FE4">
        <w:rPr>
          <w:rFonts w:cs="Times New Roman"/>
        </w:rPr>
        <w:t>dicho mes</w:t>
      </w:r>
      <w:r w:rsidR="00767824">
        <w:rPr>
          <w:rFonts w:cs="Times New Roman"/>
        </w:rPr>
        <w:t>.</w:t>
      </w:r>
      <w:r w:rsidR="000B070A">
        <w:rPr>
          <w:rFonts w:cs="Times New Roman"/>
        </w:rPr>
        <w:t xml:space="preserve"> </w:t>
      </w:r>
      <w:r w:rsidR="00432062">
        <w:rPr>
          <w:rFonts w:cs="Times New Roman"/>
        </w:rPr>
        <w:t xml:space="preserve">En cuanto </w:t>
      </w:r>
      <w:r w:rsidR="002F6680">
        <w:rPr>
          <w:rFonts w:cs="Times New Roman"/>
        </w:rPr>
        <w:t>a los</w:t>
      </w:r>
      <w:r w:rsidR="00EE5C92">
        <w:t xml:space="preserve"> instrumentos financieros</w:t>
      </w:r>
      <w:r w:rsidR="002F6680">
        <w:t xml:space="preserve"> utilizados</w:t>
      </w:r>
      <w:r w:rsidR="00EE5C92">
        <w:t>, los</w:t>
      </w:r>
      <w:r w:rsidR="00624CCC">
        <w:t xml:space="preserve"> títulos de deuda </w:t>
      </w:r>
      <w:r w:rsidR="00EE5C92">
        <w:t xml:space="preserve">se incrementaron en </w:t>
      </w:r>
      <w:r w:rsidR="00624CCC">
        <w:t>Q6,172.6 millones</w:t>
      </w:r>
      <w:r w:rsidR="00ED4CC7">
        <w:t>,</w:t>
      </w:r>
      <w:r w:rsidR="00EE5C92">
        <w:t xml:space="preserve"> </w:t>
      </w:r>
      <w:r w:rsidR="00D611AF">
        <w:t xml:space="preserve">mientras que </w:t>
      </w:r>
      <w:r w:rsidR="00624CCC">
        <w:t xml:space="preserve">se registró </w:t>
      </w:r>
      <w:r w:rsidR="00921CE0">
        <w:t xml:space="preserve">una </w:t>
      </w:r>
      <w:r w:rsidR="00E17EEA">
        <w:t xml:space="preserve">amortización </w:t>
      </w:r>
      <w:r w:rsidR="00D611AF">
        <w:t xml:space="preserve">de los </w:t>
      </w:r>
      <w:r w:rsidR="00B51EB8">
        <w:t xml:space="preserve">préstamos </w:t>
      </w:r>
      <w:r w:rsidR="00B80B99">
        <w:t xml:space="preserve">en </w:t>
      </w:r>
      <w:r w:rsidR="00E17EEA">
        <w:t>Q</w:t>
      </w:r>
      <w:r w:rsidR="00B51EB8">
        <w:t>1,083.6</w:t>
      </w:r>
      <w:r w:rsidR="00E17EEA">
        <w:t xml:space="preserve"> </w:t>
      </w:r>
      <w:r w:rsidR="00220E22">
        <w:t>millones</w:t>
      </w:r>
      <w:r w:rsidR="00B51EB8">
        <w:t xml:space="preserve"> </w:t>
      </w:r>
      <w:r w:rsidR="00921CE0">
        <w:t xml:space="preserve">y </w:t>
      </w:r>
      <w:r w:rsidR="00D611AF">
        <w:t xml:space="preserve">en </w:t>
      </w:r>
      <w:r w:rsidR="00B51EB8">
        <w:t xml:space="preserve">las otras cuentas por pagar </w:t>
      </w:r>
      <w:r w:rsidR="00B80B99">
        <w:t xml:space="preserve">en </w:t>
      </w:r>
      <w:r w:rsidR="00D860D4">
        <w:t>Q</w:t>
      </w:r>
      <w:r w:rsidR="00B51EB8">
        <w:t>341.6</w:t>
      </w:r>
      <w:r w:rsidR="00D860D4">
        <w:t xml:space="preserve"> </w:t>
      </w:r>
      <w:r w:rsidR="001518E9">
        <w:t>millones</w:t>
      </w:r>
      <w:r w:rsidR="00B51EB8">
        <w:t>.</w:t>
      </w:r>
    </w:p>
    <w:tbl>
      <w:tblPr>
        <w:tblStyle w:val="Tablaconcuadrcula"/>
        <w:tblW w:w="9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6"/>
        <w:gridCol w:w="3704"/>
      </w:tblGrid>
      <w:tr w:rsidR="0061446B" w:rsidRPr="00954142" w14:paraId="170F85A0" w14:textId="77777777" w:rsidTr="008B2D72">
        <w:trPr>
          <w:trHeight w:val="6"/>
          <w:jc w:val="center"/>
        </w:trPr>
        <w:tc>
          <w:tcPr>
            <w:tcW w:w="9290" w:type="dxa"/>
            <w:gridSpan w:val="2"/>
          </w:tcPr>
          <w:p w14:paraId="53CD2781" w14:textId="490B13FD" w:rsidR="0061446B" w:rsidRPr="00954142" w:rsidRDefault="0061446B" w:rsidP="00526FB8">
            <w:pPr>
              <w:spacing w:before="0" w:after="0"/>
              <w:jc w:val="center"/>
              <w:rPr>
                <w:b/>
                <w:bCs/>
              </w:rPr>
            </w:pPr>
            <w:r w:rsidRPr="00954142">
              <w:rPr>
                <w:b/>
                <w:bCs/>
              </w:rPr>
              <w:t>Incurrimiento neto de pasivos</w:t>
            </w:r>
            <w:r w:rsidR="009D176B" w:rsidRPr="00954142">
              <w:rPr>
                <w:b/>
                <w:bCs/>
              </w:rPr>
              <w:t xml:space="preserve"> </w:t>
            </w:r>
            <w:r w:rsidR="00B435E7" w:rsidRPr="00954142">
              <w:rPr>
                <w:b/>
                <w:bCs/>
              </w:rPr>
              <w:t xml:space="preserve">a </w:t>
            </w:r>
            <w:r w:rsidR="00B8488B">
              <w:rPr>
                <w:b/>
                <w:bCs/>
              </w:rPr>
              <w:t>junio</w:t>
            </w:r>
            <w:r w:rsidR="00B435E7" w:rsidRPr="00954142">
              <w:rPr>
                <w:b/>
                <w:bCs/>
              </w:rPr>
              <w:t xml:space="preserve"> de </w:t>
            </w:r>
            <w:r w:rsidR="009D176B" w:rsidRPr="00954142">
              <w:rPr>
                <w:b/>
                <w:bCs/>
              </w:rPr>
              <w:t>202</w:t>
            </w:r>
            <w:r w:rsidR="00EC22FE">
              <w:rPr>
                <w:b/>
                <w:bCs/>
              </w:rPr>
              <w:t>3</w:t>
            </w:r>
            <w:r w:rsidR="009D176B" w:rsidRPr="00954142">
              <w:rPr>
                <w:b/>
                <w:bCs/>
              </w:rPr>
              <w:t>*</w:t>
            </w:r>
          </w:p>
          <w:p w14:paraId="0071567C" w14:textId="7C84D8B8" w:rsidR="0061446B" w:rsidRPr="00954142" w:rsidRDefault="0061446B" w:rsidP="00526FB8">
            <w:pPr>
              <w:spacing w:before="0" w:after="0"/>
              <w:jc w:val="center"/>
            </w:pPr>
            <w:r w:rsidRPr="00954142">
              <w:rPr>
                <w:szCs w:val="22"/>
              </w:rPr>
              <w:t xml:space="preserve">En </w:t>
            </w:r>
            <w:r w:rsidR="006535F3" w:rsidRPr="00954142">
              <w:rPr>
                <w:szCs w:val="22"/>
              </w:rPr>
              <w:t>millones</w:t>
            </w:r>
            <w:r w:rsidRPr="00954142">
              <w:rPr>
                <w:szCs w:val="22"/>
              </w:rPr>
              <w:t xml:space="preserve"> de Quetzales</w:t>
            </w:r>
          </w:p>
        </w:tc>
      </w:tr>
      <w:tr w:rsidR="00D36792" w:rsidRPr="00954142" w14:paraId="2690E1D3" w14:textId="77777777" w:rsidTr="008B2D72">
        <w:trPr>
          <w:trHeight w:val="96"/>
          <w:jc w:val="center"/>
        </w:trPr>
        <w:tc>
          <w:tcPr>
            <w:tcW w:w="5586" w:type="dxa"/>
            <w:shd w:val="clear" w:color="auto" w:fill="auto"/>
          </w:tcPr>
          <w:p w14:paraId="38032EE6" w14:textId="4645D7B5" w:rsidR="00F674B9" w:rsidRPr="00954142" w:rsidRDefault="00D34AFD" w:rsidP="003C7991">
            <w:pPr>
              <w:spacing w:before="0" w:after="0"/>
            </w:pPr>
            <w:r w:rsidRPr="00954142">
              <w:rPr>
                <w:b/>
                <w:bCs/>
                <w:noProof/>
                <w:lang w:eastAsia="es-GT"/>
              </w:rPr>
              <w:drawing>
                <wp:inline distT="0" distB="0" distL="0" distR="0" wp14:anchorId="00712202" wp14:editId="039ABC6D">
                  <wp:extent cx="3578860" cy="2078182"/>
                  <wp:effectExtent l="0" t="0" r="2540" b="0"/>
                  <wp:docPr id="964173153" name="Gráfico 9641731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3704" w:type="dxa"/>
          </w:tcPr>
          <w:p w14:paraId="6D2B05F8" w14:textId="3F5AD2E5" w:rsidR="00F674B9" w:rsidRPr="00954142" w:rsidRDefault="00A8309B" w:rsidP="00757491">
            <w:pPr>
              <w:spacing w:before="0" w:after="0"/>
              <w:ind w:right="-183"/>
            </w:pPr>
            <w:r w:rsidRPr="00954142">
              <w:rPr>
                <w:noProof/>
                <w:lang w:eastAsia="es-GT"/>
              </w:rPr>
              <w:drawing>
                <wp:inline distT="0" distB="0" distL="0" distR="0" wp14:anchorId="1A595F87" wp14:editId="1FD171C0">
                  <wp:extent cx="2317750" cy="1983179"/>
                  <wp:effectExtent l="0" t="0" r="6350" b="0"/>
                  <wp:docPr id="19" name="Gráfico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  <w:tr w:rsidR="009472CA" w:rsidRPr="00954142" w14:paraId="1A0ADA1E" w14:textId="77777777" w:rsidTr="008B2D72">
        <w:trPr>
          <w:trHeight w:val="96"/>
          <w:jc w:val="center"/>
        </w:trPr>
        <w:tc>
          <w:tcPr>
            <w:tcW w:w="5586" w:type="dxa"/>
            <w:shd w:val="clear" w:color="auto" w:fill="auto"/>
          </w:tcPr>
          <w:p w14:paraId="2D5E61AE" w14:textId="77777777" w:rsidR="009472CA" w:rsidRPr="00954142" w:rsidRDefault="009472CA" w:rsidP="009472CA">
            <w:pPr>
              <w:spacing w:before="0" w:after="0"/>
              <w:rPr>
                <w:rFonts w:cs="Times New Roman"/>
                <w:sz w:val="16"/>
                <w:szCs w:val="22"/>
                <w:lang w:val="es-MX"/>
              </w:rPr>
            </w:pPr>
            <w:r w:rsidRPr="00954142">
              <w:rPr>
                <w:rFonts w:cs="Times New Roman"/>
                <w:sz w:val="16"/>
                <w:szCs w:val="22"/>
                <w:lang w:val="es-MX"/>
              </w:rPr>
              <w:t>*Cifras preliminares</w:t>
            </w:r>
            <w:r w:rsidRPr="00954142">
              <w:rPr>
                <w:rFonts w:cs="Times New Roman"/>
                <w:sz w:val="16"/>
                <w:szCs w:val="22"/>
                <w:lang w:val="es-MX"/>
              </w:rPr>
              <w:tab/>
            </w:r>
          </w:p>
          <w:p w14:paraId="359064DF" w14:textId="0FF8F741" w:rsidR="009472CA" w:rsidRPr="00954142" w:rsidRDefault="009472CA" w:rsidP="009472CA">
            <w:pPr>
              <w:spacing w:before="0" w:after="0"/>
              <w:rPr>
                <w:rFonts w:cs="Times New Roman"/>
                <w:sz w:val="16"/>
                <w:szCs w:val="22"/>
                <w:lang w:val="es-MX"/>
              </w:rPr>
            </w:pPr>
            <w:r w:rsidRPr="00954142">
              <w:rPr>
                <w:rFonts w:cs="Times New Roman"/>
                <w:sz w:val="16"/>
                <w:szCs w:val="22"/>
                <w:lang w:val="es-MX"/>
              </w:rPr>
              <w:t>Fuente: MINFIN</w:t>
            </w:r>
          </w:p>
        </w:tc>
        <w:tc>
          <w:tcPr>
            <w:tcW w:w="3704" w:type="dxa"/>
          </w:tcPr>
          <w:p w14:paraId="7F7A8345" w14:textId="77777777" w:rsidR="009472CA" w:rsidRPr="00954142" w:rsidRDefault="009472CA" w:rsidP="004579E2">
            <w:pPr>
              <w:spacing w:before="0"/>
              <w:ind w:right="-183"/>
              <w:rPr>
                <w:noProof/>
                <w:lang w:eastAsia="es-GT"/>
              </w:rPr>
            </w:pPr>
          </w:p>
        </w:tc>
      </w:tr>
    </w:tbl>
    <w:p w14:paraId="1F341054" w14:textId="2EB509CA" w:rsidR="00F4077C" w:rsidRPr="00954142" w:rsidRDefault="00F4077C" w:rsidP="000A1A0B">
      <w:pPr>
        <w:pStyle w:val="Ttulo1"/>
        <w:numPr>
          <w:ilvl w:val="0"/>
          <w:numId w:val="12"/>
        </w:numPr>
        <w:rPr>
          <w:lang w:val="es-ES_tradnl" w:eastAsia="es-ES"/>
        </w:rPr>
      </w:pPr>
      <w:bookmarkStart w:id="811" w:name="_Toc42023970"/>
      <w:bookmarkStart w:id="812" w:name="_Toc42024021"/>
      <w:bookmarkStart w:id="813" w:name="_Toc42023971"/>
      <w:bookmarkStart w:id="814" w:name="_Toc42024022"/>
      <w:bookmarkStart w:id="815" w:name="_Toc42023972"/>
      <w:bookmarkStart w:id="816" w:name="_Toc42024023"/>
      <w:bookmarkStart w:id="817" w:name="_Toc42023973"/>
      <w:bookmarkStart w:id="818" w:name="_Toc42024024"/>
      <w:bookmarkStart w:id="819" w:name="_Toc143170066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r w:rsidRPr="00954142">
        <w:rPr>
          <w:lang w:val="es-MX"/>
        </w:rPr>
        <w:lastRenderedPageBreak/>
        <w:t>Erogaciones</w:t>
      </w:r>
      <w:r w:rsidR="00B50E45" w:rsidRPr="00954142">
        <w:rPr>
          <w:lang w:val="es-ES_tradnl" w:eastAsia="es-ES"/>
        </w:rPr>
        <w:t xml:space="preserve"> </w:t>
      </w:r>
      <w:r w:rsidR="00ED6F84">
        <w:rPr>
          <w:lang w:val="es-ES_tradnl" w:eastAsia="es-ES"/>
        </w:rPr>
        <w:t>por funciones de gobierno</w:t>
      </w:r>
      <w:bookmarkEnd w:id="819"/>
    </w:p>
    <w:p w14:paraId="17E5690A" w14:textId="6A68CC7A" w:rsidR="000F19C1" w:rsidRPr="00954142" w:rsidRDefault="000F19C1" w:rsidP="00101051">
      <w:pPr>
        <w:rPr>
          <w:rFonts w:eastAsiaTheme="majorEastAsia" w:cs="Times New Roman"/>
          <w:b/>
          <w:bCs/>
          <w:vanish/>
          <w:sz w:val="24"/>
          <w:szCs w:val="26"/>
          <w:lang w:eastAsia="es-ES"/>
        </w:rPr>
      </w:pPr>
    </w:p>
    <w:p w14:paraId="56FB527D" w14:textId="77777777" w:rsidR="000F19C1" w:rsidRPr="00954142" w:rsidRDefault="000F19C1" w:rsidP="000F19C1">
      <w:pPr>
        <w:pStyle w:val="Prrafodelista"/>
        <w:keepNext/>
        <w:keepLines/>
        <w:numPr>
          <w:ilvl w:val="0"/>
          <w:numId w:val="43"/>
        </w:numPr>
        <w:tabs>
          <w:tab w:val="left" w:pos="426"/>
        </w:tabs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eastAsia="es-ES"/>
        </w:rPr>
      </w:pPr>
      <w:bookmarkStart w:id="820" w:name="_Toc55374010"/>
      <w:bookmarkStart w:id="821" w:name="_Toc55375147"/>
      <w:bookmarkStart w:id="822" w:name="_Toc55396555"/>
      <w:bookmarkStart w:id="823" w:name="_Toc65230552"/>
      <w:bookmarkStart w:id="824" w:name="_Toc65230790"/>
      <w:bookmarkStart w:id="825" w:name="_Toc65232074"/>
      <w:bookmarkStart w:id="826" w:name="_Toc65232319"/>
      <w:bookmarkStart w:id="827" w:name="_Toc66716178"/>
      <w:bookmarkStart w:id="828" w:name="_Toc71097222"/>
      <w:bookmarkStart w:id="829" w:name="_Toc71097253"/>
      <w:bookmarkStart w:id="830" w:name="_Toc71097328"/>
      <w:bookmarkStart w:id="831" w:name="_Toc71108068"/>
      <w:bookmarkStart w:id="832" w:name="_Toc79055262"/>
      <w:bookmarkStart w:id="833" w:name="_Toc79055293"/>
      <w:bookmarkStart w:id="834" w:name="_Toc79060184"/>
      <w:bookmarkStart w:id="835" w:name="_Toc79060471"/>
      <w:bookmarkStart w:id="836" w:name="_Toc81307828"/>
      <w:bookmarkStart w:id="837" w:name="_Toc83376489"/>
      <w:bookmarkStart w:id="838" w:name="_Toc86386728"/>
      <w:bookmarkStart w:id="839" w:name="_Toc86405414"/>
      <w:bookmarkStart w:id="840" w:name="_Toc98162444"/>
      <w:bookmarkStart w:id="841" w:name="_Toc98162476"/>
      <w:bookmarkStart w:id="842" w:name="_Toc98235002"/>
      <w:bookmarkStart w:id="843" w:name="_Toc98235197"/>
      <w:bookmarkStart w:id="844" w:name="_Toc98235282"/>
      <w:bookmarkStart w:id="845" w:name="_Toc98757152"/>
      <w:bookmarkStart w:id="846" w:name="_Toc101874707"/>
      <w:bookmarkStart w:id="847" w:name="_Toc101954163"/>
      <w:bookmarkStart w:id="848" w:name="_Toc101971980"/>
      <w:bookmarkStart w:id="849" w:name="_Toc101974072"/>
      <w:bookmarkStart w:id="850" w:name="_Toc102039757"/>
      <w:bookmarkStart w:id="851" w:name="_Toc102039795"/>
      <w:bookmarkStart w:id="852" w:name="_Toc102039835"/>
      <w:bookmarkStart w:id="853" w:name="_Toc102039866"/>
      <w:bookmarkStart w:id="854" w:name="_Toc102040924"/>
      <w:bookmarkStart w:id="855" w:name="_Toc102477772"/>
      <w:bookmarkStart w:id="856" w:name="_Toc102477803"/>
      <w:bookmarkStart w:id="857" w:name="_Toc109824833"/>
      <w:bookmarkStart w:id="858" w:name="_Toc109828789"/>
      <w:bookmarkStart w:id="859" w:name="_Toc109828852"/>
      <w:bookmarkStart w:id="860" w:name="_Toc109829028"/>
      <w:bookmarkStart w:id="861" w:name="_Toc109829059"/>
      <w:bookmarkStart w:id="862" w:name="_Toc109833903"/>
      <w:bookmarkStart w:id="863" w:name="_Toc110237446"/>
      <w:bookmarkStart w:id="864" w:name="_Toc117775323"/>
      <w:bookmarkStart w:id="865" w:name="_Toc117781292"/>
      <w:bookmarkStart w:id="866" w:name="_Toc125620820"/>
      <w:bookmarkStart w:id="867" w:name="_Toc125620851"/>
      <w:bookmarkStart w:id="868" w:name="_Toc125620882"/>
      <w:bookmarkStart w:id="869" w:name="_Toc125620918"/>
      <w:bookmarkStart w:id="870" w:name="_Toc125620949"/>
      <w:bookmarkStart w:id="871" w:name="_Toc125620983"/>
      <w:bookmarkStart w:id="872" w:name="_Toc125621036"/>
      <w:bookmarkStart w:id="873" w:name="_Toc125621090"/>
      <w:bookmarkStart w:id="874" w:name="_Toc125623568"/>
      <w:bookmarkStart w:id="875" w:name="_Toc125623600"/>
      <w:bookmarkStart w:id="876" w:name="_Toc125623632"/>
      <w:bookmarkStart w:id="877" w:name="_Toc125970378"/>
      <w:bookmarkStart w:id="878" w:name="_Toc125970410"/>
      <w:bookmarkStart w:id="879" w:name="_Toc127365861"/>
      <w:bookmarkStart w:id="880" w:name="_Toc127434612"/>
      <w:bookmarkStart w:id="881" w:name="_Toc127436980"/>
      <w:bookmarkStart w:id="882" w:name="_Toc127437341"/>
      <w:bookmarkStart w:id="883" w:name="_Toc127437696"/>
      <w:bookmarkStart w:id="884" w:name="_Toc135128850"/>
      <w:bookmarkStart w:id="885" w:name="_Toc135128883"/>
      <w:bookmarkStart w:id="886" w:name="_Toc135133723"/>
      <w:bookmarkStart w:id="887" w:name="_Toc135143060"/>
      <w:bookmarkStart w:id="888" w:name="_Toc135819378"/>
      <w:bookmarkStart w:id="889" w:name="_Toc136329495"/>
      <w:bookmarkStart w:id="890" w:name="_Toc136329616"/>
      <w:bookmarkStart w:id="891" w:name="_Toc136611293"/>
      <w:bookmarkStart w:id="892" w:name="_Toc136611338"/>
      <w:bookmarkStart w:id="893" w:name="_Toc136611455"/>
      <w:bookmarkStart w:id="894" w:name="_Toc136611502"/>
      <w:bookmarkStart w:id="895" w:name="_Toc136611590"/>
      <w:bookmarkStart w:id="896" w:name="_Toc139876582"/>
      <w:bookmarkStart w:id="897" w:name="_Toc139876609"/>
      <w:bookmarkStart w:id="898" w:name="_Toc139876859"/>
      <w:bookmarkStart w:id="899" w:name="_Toc139876887"/>
      <w:bookmarkStart w:id="900" w:name="_Toc139876923"/>
      <w:bookmarkStart w:id="901" w:name="_Toc142898579"/>
      <w:bookmarkStart w:id="902" w:name="_Toc143164416"/>
      <w:bookmarkStart w:id="903" w:name="_Toc143164509"/>
      <w:bookmarkStart w:id="904" w:name="_Toc143164537"/>
      <w:bookmarkStart w:id="905" w:name="_Toc143167428"/>
      <w:bookmarkStart w:id="906" w:name="_Toc143170067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</w:p>
    <w:p w14:paraId="0298658C" w14:textId="77777777" w:rsidR="000F19C1" w:rsidRPr="00954142" w:rsidRDefault="000F19C1" w:rsidP="000F19C1">
      <w:pPr>
        <w:pStyle w:val="Prrafodelista"/>
        <w:keepNext/>
        <w:keepLines/>
        <w:numPr>
          <w:ilvl w:val="0"/>
          <w:numId w:val="43"/>
        </w:numPr>
        <w:tabs>
          <w:tab w:val="left" w:pos="426"/>
        </w:tabs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eastAsia="es-ES"/>
        </w:rPr>
      </w:pPr>
      <w:bookmarkStart w:id="907" w:name="_Toc55374011"/>
      <w:bookmarkStart w:id="908" w:name="_Toc55375148"/>
      <w:bookmarkStart w:id="909" w:name="_Toc55396556"/>
      <w:bookmarkStart w:id="910" w:name="_Toc65230553"/>
      <w:bookmarkStart w:id="911" w:name="_Toc65230791"/>
      <w:bookmarkStart w:id="912" w:name="_Toc65232075"/>
      <w:bookmarkStart w:id="913" w:name="_Toc65232320"/>
      <w:bookmarkStart w:id="914" w:name="_Toc66716179"/>
      <w:bookmarkStart w:id="915" w:name="_Toc71097223"/>
      <w:bookmarkStart w:id="916" w:name="_Toc71097254"/>
      <w:bookmarkStart w:id="917" w:name="_Toc71097329"/>
      <w:bookmarkStart w:id="918" w:name="_Toc71108069"/>
      <w:bookmarkStart w:id="919" w:name="_Toc79055263"/>
      <w:bookmarkStart w:id="920" w:name="_Toc79055294"/>
      <w:bookmarkStart w:id="921" w:name="_Toc79060185"/>
      <w:bookmarkStart w:id="922" w:name="_Toc79060472"/>
      <w:bookmarkStart w:id="923" w:name="_Toc81307829"/>
      <w:bookmarkStart w:id="924" w:name="_Toc83376490"/>
      <w:bookmarkStart w:id="925" w:name="_Toc86386729"/>
      <w:bookmarkStart w:id="926" w:name="_Toc86405415"/>
      <w:bookmarkStart w:id="927" w:name="_Toc98162445"/>
      <w:bookmarkStart w:id="928" w:name="_Toc98162477"/>
      <w:bookmarkStart w:id="929" w:name="_Toc98235003"/>
      <w:bookmarkStart w:id="930" w:name="_Toc98235198"/>
      <w:bookmarkStart w:id="931" w:name="_Toc98235283"/>
      <w:bookmarkStart w:id="932" w:name="_Toc98757153"/>
      <w:bookmarkStart w:id="933" w:name="_Toc101874708"/>
      <w:bookmarkStart w:id="934" w:name="_Toc101954164"/>
      <w:bookmarkStart w:id="935" w:name="_Toc101971981"/>
      <w:bookmarkStart w:id="936" w:name="_Toc101974073"/>
      <w:bookmarkStart w:id="937" w:name="_Toc102039758"/>
      <w:bookmarkStart w:id="938" w:name="_Toc102039796"/>
      <w:bookmarkStart w:id="939" w:name="_Toc102039836"/>
      <w:bookmarkStart w:id="940" w:name="_Toc102039867"/>
      <w:bookmarkStart w:id="941" w:name="_Toc102040925"/>
      <w:bookmarkStart w:id="942" w:name="_Toc102477773"/>
      <w:bookmarkStart w:id="943" w:name="_Toc102477804"/>
      <w:bookmarkStart w:id="944" w:name="_Toc109824834"/>
      <w:bookmarkStart w:id="945" w:name="_Toc109828790"/>
      <w:bookmarkStart w:id="946" w:name="_Toc109828853"/>
      <w:bookmarkStart w:id="947" w:name="_Toc109829029"/>
      <w:bookmarkStart w:id="948" w:name="_Toc109829060"/>
      <w:bookmarkStart w:id="949" w:name="_Toc109833904"/>
      <w:bookmarkStart w:id="950" w:name="_Toc110237447"/>
      <w:bookmarkStart w:id="951" w:name="_Toc117775324"/>
      <w:bookmarkStart w:id="952" w:name="_Toc117781293"/>
      <w:bookmarkStart w:id="953" w:name="_Toc125620821"/>
      <w:bookmarkStart w:id="954" w:name="_Toc125620852"/>
      <w:bookmarkStart w:id="955" w:name="_Toc125620883"/>
      <w:bookmarkStart w:id="956" w:name="_Toc125620919"/>
      <w:bookmarkStart w:id="957" w:name="_Toc125620950"/>
      <w:bookmarkStart w:id="958" w:name="_Toc125620984"/>
      <w:bookmarkStart w:id="959" w:name="_Toc125621037"/>
      <w:bookmarkStart w:id="960" w:name="_Toc125621091"/>
      <w:bookmarkStart w:id="961" w:name="_Toc125623569"/>
      <w:bookmarkStart w:id="962" w:name="_Toc125623601"/>
      <w:bookmarkStart w:id="963" w:name="_Toc125623633"/>
      <w:bookmarkStart w:id="964" w:name="_Toc125970379"/>
      <w:bookmarkStart w:id="965" w:name="_Toc125970411"/>
      <w:bookmarkStart w:id="966" w:name="_Toc127365862"/>
      <w:bookmarkStart w:id="967" w:name="_Toc127434613"/>
      <w:bookmarkStart w:id="968" w:name="_Toc127436981"/>
      <w:bookmarkStart w:id="969" w:name="_Toc127437342"/>
      <w:bookmarkStart w:id="970" w:name="_Toc127437697"/>
      <w:bookmarkStart w:id="971" w:name="_Toc135128851"/>
      <w:bookmarkStart w:id="972" w:name="_Toc135128884"/>
      <w:bookmarkStart w:id="973" w:name="_Toc135133724"/>
      <w:bookmarkStart w:id="974" w:name="_Toc135143061"/>
      <w:bookmarkStart w:id="975" w:name="_Toc135819379"/>
      <w:bookmarkStart w:id="976" w:name="_Toc136329496"/>
      <w:bookmarkStart w:id="977" w:name="_Toc136329617"/>
      <w:bookmarkStart w:id="978" w:name="_Toc136611294"/>
      <w:bookmarkStart w:id="979" w:name="_Toc136611339"/>
      <w:bookmarkStart w:id="980" w:name="_Toc136611456"/>
      <w:bookmarkStart w:id="981" w:name="_Toc136611503"/>
      <w:bookmarkStart w:id="982" w:name="_Toc136611591"/>
      <w:bookmarkStart w:id="983" w:name="_Toc139876583"/>
      <w:bookmarkStart w:id="984" w:name="_Toc139876610"/>
      <w:bookmarkStart w:id="985" w:name="_Toc139876860"/>
      <w:bookmarkStart w:id="986" w:name="_Toc139876888"/>
      <w:bookmarkStart w:id="987" w:name="_Toc139876924"/>
      <w:bookmarkStart w:id="988" w:name="_Toc142898580"/>
      <w:bookmarkStart w:id="989" w:name="_Toc143164417"/>
      <w:bookmarkStart w:id="990" w:name="_Toc143164510"/>
      <w:bookmarkStart w:id="991" w:name="_Toc143164538"/>
      <w:bookmarkStart w:id="992" w:name="_Toc143167429"/>
      <w:bookmarkStart w:id="993" w:name="_Toc143170068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</w:p>
    <w:p w14:paraId="2B7C610F" w14:textId="77777777" w:rsidR="000F19C1" w:rsidRPr="00954142" w:rsidRDefault="000F19C1" w:rsidP="000F19C1">
      <w:pPr>
        <w:pStyle w:val="Prrafodelista"/>
        <w:keepNext/>
        <w:keepLines/>
        <w:numPr>
          <w:ilvl w:val="0"/>
          <w:numId w:val="43"/>
        </w:numPr>
        <w:tabs>
          <w:tab w:val="left" w:pos="426"/>
        </w:tabs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eastAsia="es-ES"/>
        </w:rPr>
      </w:pPr>
      <w:bookmarkStart w:id="994" w:name="_Toc55374012"/>
      <w:bookmarkStart w:id="995" w:name="_Toc55375149"/>
      <w:bookmarkStart w:id="996" w:name="_Toc55396557"/>
      <w:bookmarkStart w:id="997" w:name="_Toc65230554"/>
      <w:bookmarkStart w:id="998" w:name="_Toc65230792"/>
      <w:bookmarkStart w:id="999" w:name="_Toc65232076"/>
      <w:bookmarkStart w:id="1000" w:name="_Toc65232321"/>
      <w:bookmarkStart w:id="1001" w:name="_Toc66716180"/>
      <w:bookmarkStart w:id="1002" w:name="_Toc71097224"/>
      <w:bookmarkStart w:id="1003" w:name="_Toc71097255"/>
      <w:bookmarkStart w:id="1004" w:name="_Toc71097330"/>
      <w:bookmarkStart w:id="1005" w:name="_Toc71108070"/>
      <w:bookmarkStart w:id="1006" w:name="_Toc79055264"/>
      <w:bookmarkStart w:id="1007" w:name="_Toc79055295"/>
      <w:bookmarkStart w:id="1008" w:name="_Toc79060186"/>
      <w:bookmarkStart w:id="1009" w:name="_Toc79060473"/>
      <w:bookmarkStart w:id="1010" w:name="_Toc81307830"/>
      <w:bookmarkStart w:id="1011" w:name="_Toc83376491"/>
      <w:bookmarkStart w:id="1012" w:name="_Toc86386730"/>
      <w:bookmarkStart w:id="1013" w:name="_Toc86405416"/>
      <w:bookmarkStart w:id="1014" w:name="_Toc98162446"/>
      <w:bookmarkStart w:id="1015" w:name="_Toc98162478"/>
      <w:bookmarkStart w:id="1016" w:name="_Toc98235004"/>
      <w:bookmarkStart w:id="1017" w:name="_Toc98235199"/>
      <w:bookmarkStart w:id="1018" w:name="_Toc98235284"/>
      <w:bookmarkStart w:id="1019" w:name="_Toc98757154"/>
      <w:bookmarkStart w:id="1020" w:name="_Toc101874709"/>
      <w:bookmarkStart w:id="1021" w:name="_Toc101954165"/>
      <w:bookmarkStart w:id="1022" w:name="_Toc101971982"/>
      <w:bookmarkStart w:id="1023" w:name="_Toc101974074"/>
      <w:bookmarkStart w:id="1024" w:name="_Toc102039759"/>
      <w:bookmarkStart w:id="1025" w:name="_Toc102039797"/>
      <w:bookmarkStart w:id="1026" w:name="_Toc102039837"/>
      <w:bookmarkStart w:id="1027" w:name="_Toc102039868"/>
      <w:bookmarkStart w:id="1028" w:name="_Toc102040926"/>
      <w:bookmarkStart w:id="1029" w:name="_Toc102477774"/>
      <w:bookmarkStart w:id="1030" w:name="_Toc102477805"/>
      <w:bookmarkStart w:id="1031" w:name="_Toc109824835"/>
      <w:bookmarkStart w:id="1032" w:name="_Toc109828791"/>
      <w:bookmarkStart w:id="1033" w:name="_Toc109828854"/>
      <w:bookmarkStart w:id="1034" w:name="_Toc109829030"/>
      <w:bookmarkStart w:id="1035" w:name="_Toc109829061"/>
      <w:bookmarkStart w:id="1036" w:name="_Toc109833905"/>
      <w:bookmarkStart w:id="1037" w:name="_Toc110237448"/>
      <w:bookmarkStart w:id="1038" w:name="_Toc117775325"/>
      <w:bookmarkStart w:id="1039" w:name="_Toc117781294"/>
      <w:bookmarkStart w:id="1040" w:name="_Toc125620822"/>
      <w:bookmarkStart w:id="1041" w:name="_Toc125620853"/>
      <w:bookmarkStart w:id="1042" w:name="_Toc125620884"/>
      <w:bookmarkStart w:id="1043" w:name="_Toc125620920"/>
      <w:bookmarkStart w:id="1044" w:name="_Toc125620951"/>
      <w:bookmarkStart w:id="1045" w:name="_Toc125620985"/>
      <w:bookmarkStart w:id="1046" w:name="_Toc125621038"/>
      <w:bookmarkStart w:id="1047" w:name="_Toc125621092"/>
      <w:bookmarkStart w:id="1048" w:name="_Toc125623570"/>
      <w:bookmarkStart w:id="1049" w:name="_Toc125623602"/>
      <w:bookmarkStart w:id="1050" w:name="_Toc125623634"/>
      <w:bookmarkStart w:id="1051" w:name="_Toc125970380"/>
      <w:bookmarkStart w:id="1052" w:name="_Toc125970412"/>
      <w:bookmarkStart w:id="1053" w:name="_Toc127365863"/>
      <w:bookmarkStart w:id="1054" w:name="_Toc127434614"/>
      <w:bookmarkStart w:id="1055" w:name="_Toc127436982"/>
      <w:bookmarkStart w:id="1056" w:name="_Toc127437343"/>
      <w:bookmarkStart w:id="1057" w:name="_Toc127437698"/>
      <w:bookmarkStart w:id="1058" w:name="_Toc135128852"/>
      <w:bookmarkStart w:id="1059" w:name="_Toc135128885"/>
      <w:bookmarkStart w:id="1060" w:name="_Toc135133725"/>
      <w:bookmarkStart w:id="1061" w:name="_Toc135143062"/>
      <w:bookmarkStart w:id="1062" w:name="_Toc135819380"/>
      <w:bookmarkStart w:id="1063" w:name="_Toc136329497"/>
      <w:bookmarkStart w:id="1064" w:name="_Toc136329618"/>
      <w:bookmarkStart w:id="1065" w:name="_Toc136611295"/>
      <w:bookmarkStart w:id="1066" w:name="_Toc136611340"/>
      <w:bookmarkStart w:id="1067" w:name="_Toc136611457"/>
      <w:bookmarkStart w:id="1068" w:name="_Toc136611504"/>
      <w:bookmarkStart w:id="1069" w:name="_Toc136611592"/>
      <w:bookmarkStart w:id="1070" w:name="_Toc139876584"/>
      <w:bookmarkStart w:id="1071" w:name="_Toc139876611"/>
      <w:bookmarkStart w:id="1072" w:name="_Toc139876861"/>
      <w:bookmarkStart w:id="1073" w:name="_Toc139876889"/>
      <w:bookmarkStart w:id="1074" w:name="_Toc139876925"/>
      <w:bookmarkStart w:id="1075" w:name="_Toc142898581"/>
      <w:bookmarkStart w:id="1076" w:name="_Toc143164418"/>
      <w:bookmarkStart w:id="1077" w:name="_Toc143164511"/>
      <w:bookmarkStart w:id="1078" w:name="_Toc143164539"/>
      <w:bookmarkStart w:id="1079" w:name="_Toc143167430"/>
      <w:bookmarkStart w:id="1080" w:name="_Toc143170069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</w:p>
    <w:p w14:paraId="5DA454F1" w14:textId="77777777" w:rsidR="000F19C1" w:rsidRPr="00954142" w:rsidRDefault="000F19C1" w:rsidP="000F19C1">
      <w:pPr>
        <w:pStyle w:val="Prrafodelista"/>
        <w:keepNext/>
        <w:keepLines/>
        <w:numPr>
          <w:ilvl w:val="0"/>
          <w:numId w:val="43"/>
        </w:numPr>
        <w:tabs>
          <w:tab w:val="left" w:pos="426"/>
        </w:tabs>
        <w:contextualSpacing w:val="0"/>
        <w:outlineLvl w:val="1"/>
        <w:rPr>
          <w:rFonts w:eastAsiaTheme="majorEastAsia" w:cs="Times New Roman"/>
          <w:b/>
          <w:bCs/>
          <w:vanish/>
          <w:sz w:val="24"/>
          <w:szCs w:val="26"/>
          <w:lang w:eastAsia="es-ES"/>
        </w:rPr>
      </w:pPr>
      <w:bookmarkStart w:id="1081" w:name="_Toc55374013"/>
      <w:bookmarkStart w:id="1082" w:name="_Toc55375150"/>
      <w:bookmarkStart w:id="1083" w:name="_Toc55396558"/>
      <w:bookmarkStart w:id="1084" w:name="_Toc65230555"/>
      <w:bookmarkStart w:id="1085" w:name="_Toc65230793"/>
      <w:bookmarkStart w:id="1086" w:name="_Toc65232077"/>
      <w:bookmarkStart w:id="1087" w:name="_Toc65232322"/>
      <w:bookmarkStart w:id="1088" w:name="_Toc66716181"/>
      <w:bookmarkStart w:id="1089" w:name="_Toc71097225"/>
      <w:bookmarkStart w:id="1090" w:name="_Toc71097256"/>
      <w:bookmarkStart w:id="1091" w:name="_Toc71097331"/>
      <w:bookmarkStart w:id="1092" w:name="_Toc71108071"/>
      <w:bookmarkStart w:id="1093" w:name="_Toc79055265"/>
      <w:bookmarkStart w:id="1094" w:name="_Toc79055296"/>
      <w:bookmarkStart w:id="1095" w:name="_Toc79060187"/>
      <w:bookmarkStart w:id="1096" w:name="_Toc79060474"/>
      <w:bookmarkStart w:id="1097" w:name="_Toc81307831"/>
      <w:bookmarkStart w:id="1098" w:name="_Toc83376492"/>
      <w:bookmarkStart w:id="1099" w:name="_Toc86386731"/>
      <w:bookmarkStart w:id="1100" w:name="_Toc86405417"/>
      <w:bookmarkStart w:id="1101" w:name="_Toc98162447"/>
      <w:bookmarkStart w:id="1102" w:name="_Toc98162479"/>
      <w:bookmarkStart w:id="1103" w:name="_Toc98235005"/>
      <w:bookmarkStart w:id="1104" w:name="_Toc98235200"/>
      <w:bookmarkStart w:id="1105" w:name="_Toc98235285"/>
      <w:bookmarkStart w:id="1106" w:name="_Toc98757155"/>
      <w:bookmarkStart w:id="1107" w:name="_Toc101874710"/>
      <w:bookmarkStart w:id="1108" w:name="_Toc101954166"/>
      <w:bookmarkStart w:id="1109" w:name="_Toc101971983"/>
      <w:bookmarkStart w:id="1110" w:name="_Toc101974075"/>
      <w:bookmarkStart w:id="1111" w:name="_Toc102039760"/>
      <w:bookmarkStart w:id="1112" w:name="_Toc102039798"/>
      <w:bookmarkStart w:id="1113" w:name="_Toc102039838"/>
      <w:bookmarkStart w:id="1114" w:name="_Toc102039869"/>
      <w:bookmarkStart w:id="1115" w:name="_Toc102040927"/>
      <w:bookmarkStart w:id="1116" w:name="_Toc102477775"/>
      <w:bookmarkStart w:id="1117" w:name="_Toc102477806"/>
      <w:bookmarkStart w:id="1118" w:name="_Toc109824836"/>
      <w:bookmarkStart w:id="1119" w:name="_Toc109828792"/>
      <w:bookmarkStart w:id="1120" w:name="_Toc109828855"/>
      <w:bookmarkStart w:id="1121" w:name="_Toc109829031"/>
      <w:bookmarkStart w:id="1122" w:name="_Toc109829062"/>
      <w:bookmarkStart w:id="1123" w:name="_Toc109833906"/>
      <w:bookmarkStart w:id="1124" w:name="_Toc110237449"/>
      <w:bookmarkStart w:id="1125" w:name="_Toc117775326"/>
      <w:bookmarkStart w:id="1126" w:name="_Toc117781295"/>
      <w:bookmarkStart w:id="1127" w:name="_Toc125620823"/>
      <w:bookmarkStart w:id="1128" w:name="_Toc125620854"/>
      <w:bookmarkStart w:id="1129" w:name="_Toc125620885"/>
      <w:bookmarkStart w:id="1130" w:name="_Toc125620921"/>
      <w:bookmarkStart w:id="1131" w:name="_Toc125620952"/>
      <w:bookmarkStart w:id="1132" w:name="_Toc125620986"/>
      <w:bookmarkStart w:id="1133" w:name="_Toc125621039"/>
      <w:bookmarkStart w:id="1134" w:name="_Toc125621093"/>
      <w:bookmarkStart w:id="1135" w:name="_Toc125623571"/>
      <w:bookmarkStart w:id="1136" w:name="_Toc125623603"/>
      <w:bookmarkStart w:id="1137" w:name="_Toc125623635"/>
      <w:bookmarkStart w:id="1138" w:name="_Toc125970381"/>
      <w:bookmarkStart w:id="1139" w:name="_Toc125970413"/>
      <w:bookmarkStart w:id="1140" w:name="_Toc127365864"/>
      <w:bookmarkStart w:id="1141" w:name="_Toc127434615"/>
      <w:bookmarkStart w:id="1142" w:name="_Toc127436983"/>
      <w:bookmarkStart w:id="1143" w:name="_Toc127437344"/>
      <w:bookmarkStart w:id="1144" w:name="_Toc127437699"/>
      <w:bookmarkStart w:id="1145" w:name="_Toc135128853"/>
      <w:bookmarkStart w:id="1146" w:name="_Toc135128886"/>
      <w:bookmarkStart w:id="1147" w:name="_Toc135133726"/>
      <w:bookmarkStart w:id="1148" w:name="_Toc135143063"/>
      <w:bookmarkStart w:id="1149" w:name="_Toc135819381"/>
      <w:bookmarkStart w:id="1150" w:name="_Toc136329498"/>
      <w:bookmarkStart w:id="1151" w:name="_Toc136329619"/>
      <w:bookmarkStart w:id="1152" w:name="_Toc136611296"/>
      <w:bookmarkStart w:id="1153" w:name="_Toc136611341"/>
      <w:bookmarkStart w:id="1154" w:name="_Toc136611458"/>
      <w:bookmarkStart w:id="1155" w:name="_Toc136611505"/>
      <w:bookmarkStart w:id="1156" w:name="_Toc136611593"/>
      <w:bookmarkStart w:id="1157" w:name="_Toc139876585"/>
      <w:bookmarkStart w:id="1158" w:name="_Toc139876612"/>
      <w:bookmarkStart w:id="1159" w:name="_Toc139876862"/>
      <w:bookmarkStart w:id="1160" w:name="_Toc139876890"/>
      <w:bookmarkStart w:id="1161" w:name="_Toc139876926"/>
      <w:bookmarkStart w:id="1162" w:name="_Toc142898582"/>
      <w:bookmarkStart w:id="1163" w:name="_Toc143164419"/>
      <w:bookmarkStart w:id="1164" w:name="_Toc143164512"/>
      <w:bookmarkStart w:id="1165" w:name="_Toc143164540"/>
      <w:bookmarkStart w:id="1166" w:name="_Toc143167431"/>
      <w:bookmarkStart w:id="1167" w:name="_Toc14317007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</w:p>
    <w:p w14:paraId="4545F53E" w14:textId="1ACB71EF" w:rsidR="00490038" w:rsidRPr="00954142" w:rsidRDefault="00C23BDB" w:rsidP="00C56688">
      <w:pPr>
        <w:pStyle w:val="Ttulo2"/>
        <w:numPr>
          <w:ilvl w:val="1"/>
          <w:numId w:val="12"/>
        </w:numPr>
        <w:tabs>
          <w:tab w:val="left" w:pos="426"/>
        </w:tabs>
        <w:spacing w:before="0"/>
        <w:rPr>
          <w:rFonts w:cs="Times New Roman"/>
          <w:sz w:val="22"/>
          <w:szCs w:val="22"/>
        </w:rPr>
      </w:pPr>
      <w:bookmarkStart w:id="1168" w:name="_Toc55374014"/>
      <w:bookmarkStart w:id="1169" w:name="_Toc55375151"/>
      <w:bookmarkStart w:id="1170" w:name="_Toc55396559"/>
      <w:bookmarkStart w:id="1171" w:name="_Toc65230556"/>
      <w:bookmarkStart w:id="1172" w:name="_Toc65230794"/>
      <w:bookmarkStart w:id="1173" w:name="_Toc65232078"/>
      <w:bookmarkStart w:id="1174" w:name="_Toc65232323"/>
      <w:bookmarkStart w:id="1175" w:name="_Toc66716182"/>
      <w:bookmarkStart w:id="1176" w:name="_Toc71097226"/>
      <w:bookmarkStart w:id="1177" w:name="_Toc71097257"/>
      <w:bookmarkStart w:id="1178" w:name="_Toc71097332"/>
      <w:bookmarkStart w:id="1179" w:name="_Toc71108072"/>
      <w:bookmarkStart w:id="1180" w:name="_Toc79055266"/>
      <w:bookmarkStart w:id="1181" w:name="_Toc79055297"/>
      <w:bookmarkStart w:id="1182" w:name="_Toc79060188"/>
      <w:bookmarkStart w:id="1183" w:name="_Toc79060475"/>
      <w:bookmarkStart w:id="1184" w:name="_Toc81307832"/>
      <w:bookmarkStart w:id="1185" w:name="_Toc83376493"/>
      <w:bookmarkStart w:id="1186" w:name="_Toc86386732"/>
      <w:bookmarkStart w:id="1187" w:name="_Toc86405418"/>
      <w:bookmarkStart w:id="1188" w:name="_Toc98162448"/>
      <w:bookmarkStart w:id="1189" w:name="_Toc98162480"/>
      <w:bookmarkStart w:id="1190" w:name="_Toc98235006"/>
      <w:bookmarkStart w:id="1191" w:name="_Toc98235201"/>
      <w:bookmarkStart w:id="1192" w:name="_Toc98235286"/>
      <w:bookmarkStart w:id="1193" w:name="_Toc98757156"/>
      <w:bookmarkStart w:id="1194" w:name="_Toc101874711"/>
      <w:bookmarkStart w:id="1195" w:name="_Toc101954167"/>
      <w:bookmarkStart w:id="1196" w:name="_Toc101971984"/>
      <w:bookmarkStart w:id="1197" w:name="_Toc101974076"/>
      <w:bookmarkStart w:id="1198" w:name="_Toc102039761"/>
      <w:bookmarkStart w:id="1199" w:name="_Toc102039799"/>
      <w:bookmarkStart w:id="1200" w:name="_Toc102039839"/>
      <w:bookmarkStart w:id="1201" w:name="_Toc102039870"/>
      <w:bookmarkStart w:id="1202" w:name="_Toc102040928"/>
      <w:bookmarkStart w:id="1203" w:name="_Toc102477776"/>
      <w:bookmarkStart w:id="1204" w:name="_Toc102477807"/>
      <w:bookmarkStart w:id="1205" w:name="_Toc109824837"/>
      <w:bookmarkStart w:id="1206" w:name="_Toc109828793"/>
      <w:bookmarkStart w:id="1207" w:name="_Toc109828856"/>
      <w:bookmarkStart w:id="1208" w:name="_Toc109829032"/>
      <w:bookmarkStart w:id="1209" w:name="_Toc109829063"/>
      <w:bookmarkStart w:id="1210" w:name="_Toc109833907"/>
      <w:bookmarkStart w:id="1211" w:name="_Toc110237450"/>
      <w:bookmarkStart w:id="1212" w:name="_Toc117775327"/>
      <w:bookmarkStart w:id="1213" w:name="_Toc117781296"/>
      <w:bookmarkStart w:id="1214" w:name="_Toc125620824"/>
      <w:bookmarkStart w:id="1215" w:name="_Toc125620855"/>
      <w:bookmarkStart w:id="1216" w:name="_Toc125620886"/>
      <w:bookmarkStart w:id="1217" w:name="_Toc125620922"/>
      <w:bookmarkStart w:id="1218" w:name="_Toc125620953"/>
      <w:bookmarkStart w:id="1219" w:name="_Toc125620987"/>
      <w:bookmarkStart w:id="1220" w:name="_Toc125621040"/>
      <w:bookmarkStart w:id="1221" w:name="_Toc125621094"/>
      <w:bookmarkStart w:id="1222" w:name="_Toc125623572"/>
      <w:bookmarkStart w:id="1223" w:name="_Toc125623604"/>
      <w:bookmarkStart w:id="1224" w:name="_Toc125623636"/>
      <w:bookmarkStart w:id="1225" w:name="_Toc125970382"/>
      <w:bookmarkStart w:id="1226" w:name="_Toc125970414"/>
      <w:bookmarkStart w:id="1227" w:name="_Toc127365865"/>
      <w:bookmarkStart w:id="1228" w:name="_Toc127434616"/>
      <w:bookmarkStart w:id="1229" w:name="_Toc127436984"/>
      <w:bookmarkStart w:id="1230" w:name="_Toc127437345"/>
      <w:bookmarkStart w:id="1231" w:name="_Toc127437700"/>
      <w:bookmarkStart w:id="1232" w:name="_Toc143170071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r w:rsidRPr="00954142">
        <w:rPr>
          <w:rFonts w:cs="Times New Roman"/>
          <w:sz w:val="22"/>
          <w:szCs w:val="22"/>
        </w:rPr>
        <w:t>Las erogaciones</w:t>
      </w:r>
      <w:r w:rsidR="00EA7F4F">
        <w:rPr>
          <w:rFonts w:cs="Times New Roman"/>
          <w:sz w:val="22"/>
          <w:szCs w:val="22"/>
        </w:rPr>
        <w:t xml:space="preserve"> m</w:t>
      </w:r>
      <w:r w:rsidR="00967254">
        <w:rPr>
          <w:rFonts w:cs="Times New Roman"/>
          <w:sz w:val="22"/>
          <w:szCs w:val="22"/>
        </w:rPr>
        <w:t>á</w:t>
      </w:r>
      <w:r w:rsidR="00EA7F4F">
        <w:rPr>
          <w:rFonts w:cs="Times New Roman"/>
          <w:sz w:val="22"/>
          <w:szCs w:val="22"/>
        </w:rPr>
        <w:t>s din</w:t>
      </w:r>
      <w:r w:rsidR="00C22553">
        <w:rPr>
          <w:rFonts w:cs="Times New Roman"/>
          <w:sz w:val="22"/>
          <w:szCs w:val="22"/>
        </w:rPr>
        <w:t>á</w:t>
      </w:r>
      <w:r w:rsidR="00EA7F4F">
        <w:rPr>
          <w:rFonts w:cs="Times New Roman"/>
          <w:sz w:val="22"/>
          <w:szCs w:val="22"/>
        </w:rPr>
        <w:t xml:space="preserve">micas </w:t>
      </w:r>
      <w:r w:rsidR="00CF6E22">
        <w:rPr>
          <w:rFonts w:cs="Times New Roman"/>
          <w:sz w:val="22"/>
          <w:szCs w:val="22"/>
        </w:rPr>
        <w:t>han sido</w:t>
      </w:r>
      <w:r w:rsidR="00EA7F4F">
        <w:rPr>
          <w:rFonts w:cs="Times New Roman"/>
          <w:sz w:val="22"/>
          <w:szCs w:val="22"/>
        </w:rPr>
        <w:t xml:space="preserve"> en </w:t>
      </w:r>
      <w:r w:rsidR="00B2287F">
        <w:rPr>
          <w:rFonts w:cs="Times New Roman"/>
          <w:sz w:val="22"/>
          <w:szCs w:val="22"/>
        </w:rPr>
        <w:t>protección social</w:t>
      </w:r>
      <w:bookmarkEnd w:id="1232"/>
    </w:p>
    <w:p w14:paraId="1D8E3582" w14:textId="4E9B000A" w:rsidR="00BD0619" w:rsidRDefault="00101051" w:rsidP="000A1A0B">
      <w:pPr>
        <w:rPr>
          <w:rFonts w:cs="Times New Roman"/>
        </w:rPr>
      </w:pPr>
      <w:r w:rsidRPr="00954142">
        <w:rPr>
          <w:rFonts w:eastAsiaTheme="majorEastAsia"/>
          <w:noProof/>
          <w:lang w:eastAsia="es-GT"/>
        </w:rPr>
        <w:drawing>
          <wp:anchor distT="0" distB="0" distL="114300" distR="114300" simplePos="0" relativeHeight="251658245" behindDoc="0" locked="0" layoutInCell="1" allowOverlap="1" wp14:anchorId="256174D2" wp14:editId="2483BECB">
            <wp:simplePos x="0" y="0"/>
            <wp:positionH relativeFrom="margin">
              <wp:posOffset>2896870</wp:posOffset>
            </wp:positionH>
            <wp:positionV relativeFrom="paragraph">
              <wp:posOffset>85090</wp:posOffset>
            </wp:positionV>
            <wp:extent cx="3094990" cy="1464945"/>
            <wp:effectExtent l="57150" t="38100" r="105410" b="97155"/>
            <wp:wrapSquare wrapText="bothSides"/>
            <wp:docPr id="1937780073" name="Diagrama 193778007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3A8">
        <w:rPr>
          <w:rFonts w:cs="Times New Roman"/>
        </w:rPr>
        <w:t xml:space="preserve">Al segundo trimestre de 2023 </w:t>
      </w:r>
      <w:r w:rsidR="00CF2BB0">
        <w:rPr>
          <w:rFonts w:cs="Times New Roman"/>
        </w:rPr>
        <w:t>l</w:t>
      </w:r>
      <w:r w:rsidR="00573015" w:rsidRPr="00954142">
        <w:rPr>
          <w:rFonts w:cs="Times New Roman"/>
        </w:rPr>
        <w:t>as erogaciones del</w:t>
      </w:r>
      <w:r w:rsidR="006F3389" w:rsidRPr="00954142">
        <w:rPr>
          <w:rFonts w:cs="Times New Roman"/>
        </w:rPr>
        <w:t xml:space="preserve"> </w:t>
      </w:r>
      <w:r w:rsidR="00573015" w:rsidRPr="00954142">
        <w:rPr>
          <w:rFonts w:cs="Times New Roman"/>
        </w:rPr>
        <w:t>g</w:t>
      </w:r>
      <w:r w:rsidR="006F3389" w:rsidRPr="00954142">
        <w:rPr>
          <w:rFonts w:cs="Times New Roman"/>
        </w:rPr>
        <w:t xml:space="preserve">obierno </w:t>
      </w:r>
      <w:r w:rsidR="00573015" w:rsidRPr="00954142">
        <w:rPr>
          <w:rFonts w:cs="Times New Roman"/>
        </w:rPr>
        <w:t>gener</w:t>
      </w:r>
      <w:r w:rsidR="006F3389" w:rsidRPr="00954142">
        <w:rPr>
          <w:rFonts w:cs="Times New Roman"/>
        </w:rPr>
        <w:t xml:space="preserve">al </w:t>
      </w:r>
      <w:r w:rsidR="00E403A8">
        <w:rPr>
          <w:rFonts w:cs="Times New Roman"/>
        </w:rPr>
        <w:t xml:space="preserve">fueron de </w:t>
      </w:r>
      <w:r w:rsidR="006F3389" w:rsidRPr="00954142">
        <w:rPr>
          <w:rFonts w:cs="Times New Roman"/>
        </w:rPr>
        <w:t>Q</w:t>
      </w:r>
      <w:r w:rsidR="00E403A8">
        <w:rPr>
          <w:rFonts w:cs="Times New Roman"/>
        </w:rPr>
        <w:t>65,392.</w:t>
      </w:r>
      <w:r w:rsidR="00472556">
        <w:rPr>
          <w:rFonts w:cs="Times New Roman"/>
        </w:rPr>
        <w:t>4</w:t>
      </w:r>
      <w:r w:rsidR="005460C0" w:rsidRPr="00954142">
        <w:rPr>
          <w:rFonts w:cs="Times New Roman"/>
        </w:rPr>
        <w:t xml:space="preserve"> </w:t>
      </w:r>
      <w:r w:rsidR="006F3389" w:rsidRPr="00954142">
        <w:rPr>
          <w:rFonts w:cs="Times New Roman"/>
        </w:rPr>
        <w:t>millones</w:t>
      </w:r>
      <w:r w:rsidR="00E403A8">
        <w:rPr>
          <w:rFonts w:cs="Times New Roman"/>
        </w:rPr>
        <w:t xml:space="preserve">, que representa un </w:t>
      </w:r>
      <w:r w:rsidR="006F3389" w:rsidRPr="00954142">
        <w:rPr>
          <w:rFonts w:cs="Times New Roman"/>
        </w:rPr>
        <w:t>crecimiento</w:t>
      </w:r>
      <w:r w:rsidR="002838A9">
        <w:rPr>
          <w:rFonts w:cs="Times New Roman"/>
        </w:rPr>
        <w:t xml:space="preserve"> interanual</w:t>
      </w:r>
      <w:r w:rsidR="006F3389" w:rsidRPr="00954142">
        <w:rPr>
          <w:rFonts w:cs="Times New Roman"/>
        </w:rPr>
        <w:t xml:space="preserve"> de</w:t>
      </w:r>
      <w:r w:rsidR="00A543C3" w:rsidRPr="00954142">
        <w:rPr>
          <w:rFonts w:cs="Times New Roman"/>
        </w:rPr>
        <w:t>l</w:t>
      </w:r>
      <w:r w:rsidR="006F3389" w:rsidRPr="00954142">
        <w:rPr>
          <w:rFonts w:cs="Times New Roman"/>
        </w:rPr>
        <w:t xml:space="preserve"> </w:t>
      </w:r>
      <w:r w:rsidR="00E403A8">
        <w:rPr>
          <w:rFonts w:cs="Times New Roman"/>
        </w:rPr>
        <w:t>20.2</w:t>
      </w:r>
      <w:r w:rsidR="006F3389" w:rsidRPr="00954142">
        <w:rPr>
          <w:rFonts w:cs="Times New Roman"/>
        </w:rPr>
        <w:t>% (Q</w:t>
      </w:r>
      <w:r w:rsidR="00E403A8">
        <w:rPr>
          <w:rFonts w:cs="Times New Roman"/>
        </w:rPr>
        <w:t xml:space="preserve">10,970.8 </w:t>
      </w:r>
      <w:r w:rsidR="006F3389" w:rsidRPr="00954142">
        <w:rPr>
          <w:rFonts w:cs="Times New Roman"/>
        </w:rPr>
        <w:t>millones)</w:t>
      </w:r>
      <w:r w:rsidR="006D72D6">
        <w:rPr>
          <w:rFonts w:cs="Times New Roman"/>
        </w:rPr>
        <w:t>.</w:t>
      </w:r>
    </w:p>
    <w:p w14:paraId="747FD7DD" w14:textId="6CCA27A4" w:rsidR="00E507D8" w:rsidRDefault="006E4C77" w:rsidP="00E507D8">
      <w:pPr>
        <w:rPr>
          <w:rFonts w:cs="Times New Roman"/>
        </w:rPr>
      </w:pPr>
      <w:r w:rsidRPr="00954142">
        <w:rPr>
          <w:rFonts w:cs="Times New Roman"/>
        </w:rPr>
        <w:t xml:space="preserve">La función de gobierno que </w:t>
      </w:r>
      <w:r w:rsidR="00E403A8">
        <w:rPr>
          <w:rFonts w:cs="Times New Roman"/>
        </w:rPr>
        <w:t xml:space="preserve">registró </w:t>
      </w:r>
      <w:r w:rsidR="006F3389" w:rsidRPr="00954142">
        <w:rPr>
          <w:rFonts w:cs="Times New Roman"/>
        </w:rPr>
        <w:t xml:space="preserve">mayor </w:t>
      </w:r>
      <w:r w:rsidR="00E403A8">
        <w:rPr>
          <w:rFonts w:cs="Times New Roman"/>
        </w:rPr>
        <w:t xml:space="preserve">crecimiento </w:t>
      </w:r>
      <w:r w:rsidR="00E507D8">
        <w:rPr>
          <w:rFonts w:cs="Times New Roman"/>
        </w:rPr>
        <w:t xml:space="preserve">fue </w:t>
      </w:r>
      <w:r w:rsidR="00A44F3F">
        <w:rPr>
          <w:rFonts w:cs="Times New Roman"/>
        </w:rPr>
        <w:t>en los</w:t>
      </w:r>
      <w:r w:rsidR="00640E60">
        <w:rPr>
          <w:rFonts w:cs="Times New Roman"/>
        </w:rPr>
        <w:t xml:space="preserve"> enfocados a</w:t>
      </w:r>
      <w:r w:rsidR="00E507D8">
        <w:rPr>
          <w:rFonts w:cs="Times New Roman"/>
        </w:rPr>
        <w:t xml:space="preserve"> servicios de protección social, que ascendieron a Q10,599.7 millones, presentando una tasa de crecimiento de 32.5% (Q2,598.6) respecto al mismo periodo del año anterior. </w:t>
      </w:r>
      <w:r w:rsidR="009F70F9" w:rsidRPr="00E9686B">
        <w:rPr>
          <w:rFonts w:cs="Times New Roman"/>
        </w:rPr>
        <w:t>C</w:t>
      </w:r>
      <w:r w:rsidR="00DE16AB" w:rsidRPr="00E9686B">
        <w:rPr>
          <w:rFonts w:cs="Times New Roman"/>
        </w:rPr>
        <w:t xml:space="preserve">abe mencionar que el aumento en esta función </w:t>
      </w:r>
      <w:r w:rsidR="00C5258F" w:rsidRPr="00E9686B">
        <w:rPr>
          <w:rFonts w:cs="Times New Roman"/>
        </w:rPr>
        <w:t xml:space="preserve">se atribuye </w:t>
      </w:r>
      <w:r w:rsidR="00DE16AB" w:rsidRPr="00E9686B">
        <w:rPr>
          <w:rFonts w:cs="Times New Roman"/>
        </w:rPr>
        <w:t xml:space="preserve">principalmente </w:t>
      </w:r>
      <w:r w:rsidR="00C5258F" w:rsidRPr="00E9686B">
        <w:rPr>
          <w:rFonts w:cs="Times New Roman"/>
        </w:rPr>
        <w:t>a</w:t>
      </w:r>
      <w:r w:rsidR="00E97C63" w:rsidRPr="00E9686B">
        <w:rPr>
          <w:rFonts w:cs="Times New Roman"/>
        </w:rPr>
        <w:t xml:space="preserve"> la</w:t>
      </w:r>
      <w:r w:rsidR="00F26875" w:rsidRPr="00E9686B">
        <w:rPr>
          <w:rFonts w:cs="Times New Roman"/>
        </w:rPr>
        <w:t xml:space="preserve"> subcategoría </w:t>
      </w:r>
      <w:r w:rsidR="00BC7D21" w:rsidRPr="00E9686B">
        <w:rPr>
          <w:rFonts w:cs="Times New Roman"/>
        </w:rPr>
        <w:t xml:space="preserve">de </w:t>
      </w:r>
      <w:r w:rsidR="00E507D8">
        <w:rPr>
          <w:rFonts w:cs="Times New Roman"/>
        </w:rPr>
        <w:t xml:space="preserve">protección a edad avanzada, que aumentó en 25.4% (Q1,412.3 millones) </w:t>
      </w:r>
      <w:r w:rsidR="006F5969">
        <w:rPr>
          <w:rFonts w:cs="Times New Roman"/>
        </w:rPr>
        <w:t>por l</w:t>
      </w:r>
      <w:r w:rsidR="00F45C5C">
        <w:rPr>
          <w:rFonts w:cs="Times New Roman"/>
        </w:rPr>
        <w:t>a ejecución</w:t>
      </w:r>
      <w:r w:rsidR="006F5969">
        <w:rPr>
          <w:rFonts w:cs="Times New Roman"/>
        </w:rPr>
        <w:t xml:space="preserve"> </w:t>
      </w:r>
      <w:r w:rsidR="00F45C5C">
        <w:rPr>
          <w:rFonts w:cs="Times New Roman"/>
        </w:rPr>
        <w:t>en</w:t>
      </w:r>
      <w:r w:rsidR="0011743A">
        <w:rPr>
          <w:rFonts w:cs="Times New Roman"/>
        </w:rPr>
        <w:t xml:space="preserve"> el pago de</w:t>
      </w:r>
      <w:r w:rsidR="006F5969">
        <w:rPr>
          <w:rFonts w:cs="Times New Roman"/>
        </w:rPr>
        <w:t xml:space="preserve"> jubilaciones y/o </w:t>
      </w:r>
      <w:r w:rsidR="001C176F">
        <w:rPr>
          <w:rFonts w:cs="Times New Roman"/>
        </w:rPr>
        <w:t xml:space="preserve">retiros </w:t>
      </w:r>
      <w:r w:rsidR="0011743A">
        <w:rPr>
          <w:rFonts w:cs="Times New Roman"/>
        </w:rPr>
        <w:t>que realiza</w:t>
      </w:r>
      <w:r w:rsidR="00C06869">
        <w:rPr>
          <w:rFonts w:cs="Times New Roman"/>
        </w:rPr>
        <w:t xml:space="preserve"> las obligaciones del Estado a cargo del tesoro</w:t>
      </w:r>
      <w:r w:rsidR="006F5969">
        <w:rPr>
          <w:rFonts w:cs="Times New Roman"/>
        </w:rPr>
        <w:t xml:space="preserve"> y,</w:t>
      </w:r>
      <w:r w:rsidR="00E507D8">
        <w:rPr>
          <w:rFonts w:cs="Times New Roman"/>
        </w:rPr>
        <w:t xml:space="preserve"> la subcategoría otra protección social, que registró crecimiento 103.8% (Q520.9 millones)</w:t>
      </w:r>
      <w:r w:rsidR="001C176F">
        <w:rPr>
          <w:rFonts w:cs="Times New Roman"/>
        </w:rPr>
        <w:t xml:space="preserve"> por los pagos realizados por el </w:t>
      </w:r>
      <w:r w:rsidR="00AF6475">
        <w:rPr>
          <w:rFonts w:cs="Times New Roman"/>
        </w:rPr>
        <w:t>Instituto</w:t>
      </w:r>
      <w:r w:rsidR="001C176F">
        <w:rPr>
          <w:rFonts w:cs="Times New Roman"/>
        </w:rPr>
        <w:t xml:space="preserve"> Guatemalteco de Seguridad Social (IGSS) y el Plan de Prestaciones del Empleado Municipal (PPEM).</w:t>
      </w:r>
      <w:r w:rsidR="00F74A82" w:rsidRPr="00E9686B">
        <w:rPr>
          <w:rFonts w:cs="Times New Roman"/>
        </w:rPr>
        <w:t xml:space="preserve"> </w:t>
      </w:r>
      <w:r w:rsidR="008D243A" w:rsidRPr="00E9686B">
        <w:rPr>
          <w:rFonts w:cs="Times New Roman"/>
        </w:rPr>
        <w:t>E</w:t>
      </w:r>
      <w:r w:rsidR="001E1947" w:rsidRPr="00E9686B">
        <w:rPr>
          <w:rFonts w:cs="Times New Roman"/>
        </w:rPr>
        <w:t xml:space="preserve">l </w:t>
      </w:r>
      <w:r w:rsidR="0012156D" w:rsidRPr="00E9686B">
        <w:rPr>
          <w:rFonts w:cs="Times New Roman"/>
        </w:rPr>
        <w:t>6</w:t>
      </w:r>
      <w:r w:rsidR="00E507D8">
        <w:rPr>
          <w:rFonts w:cs="Times New Roman"/>
        </w:rPr>
        <w:t>3.3</w:t>
      </w:r>
      <w:r w:rsidR="00D07E99" w:rsidRPr="00E9686B">
        <w:rPr>
          <w:rFonts w:cs="Times New Roman"/>
        </w:rPr>
        <w:t xml:space="preserve">% de la ejecución </w:t>
      </w:r>
      <w:r w:rsidR="00576C42">
        <w:rPr>
          <w:rFonts w:cs="Times New Roman"/>
        </w:rPr>
        <w:t>en</w:t>
      </w:r>
      <w:r w:rsidR="001F05B0" w:rsidRPr="00E9686B">
        <w:rPr>
          <w:rFonts w:cs="Times New Roman"/>
        </w:rPr>
        <w:t xml:space="preserve"> esta </w:t>
      </w:r>
      <w:r w:rsidR="00576C42" w:rsidRPr="00E9686B">
        <w:rPr>
          <w:rFonts w:cs="Times New Roman"/>
        </w:rPr>
        <w:t>función</w:t>
      </w:r>
      <w:r w:rsidR="001F05B0" w:rsidRPr="00E9686B">
        <w:rPr>
          <w:rFonts w:cs="Times New Roman"/>
        </w:rPr>
        <w:t xml:space="preserve"> </w:t>
      </w:r>
      <w:r w:rsidR="00576C42">
        <w:rPr>
          <w:rFonts w:cs="Times New Roman"/>
        </w:rPr>
        <w:t xml:space="preserve">de gobierno </w:t>
      </w:r>
      <w:r w:rsidR="001F05B0" w:rsidRPr="00E9686B">
        <w:rPr>
          <w:rFonts w:cs="Times New Roman"/>
        </w:rPr>
        <w:t xml:space="preserve">se </w:t>
      </w:r>
      <w:r w:rsidR="00E507D8">
        <w:rPr>
          <w:rFonts w:cs="Times New Roman"/>
        </w:rPr>
        <w:t xml:space="preserve">produjo </w:t>
      </w:r>
      <w:r w:rsidR="001F05B0" w:rsidRPr="00E9686B">
        <w:rPr>
          <w:rFonts w:cs="Times New Roman"/>
        </w:rPr>
        <w:t xml:space="preserve">por el gobierno central presupuestario, el </w:t>
      </w:r>
      <w:r w:rsidR="00E507D8">
        <w:rPr>
          <w:rFonts w:cs="Times New Roman"/>
        </w:rPr>
        <w:t>34.3</w:t>
      </w:r>
      <w:r w:rsidR="001F05B0" w:rsidRPr="00E9686B">
        <w:rPr>
          <w:rFonts w:cs="Times New Roman"/>
        </w:rPr>
        <w:t xml:space="preserve">% por </w:t>
      </w:r>
      <w:r w:rsidR="00E507D8" w:rsidRPr="00E9686B">
        <w:rPr>
          <w:rFonts w:cs="Times New Roman"/>
        </w:rPr>
        <w:t>los fondos de seguridad social</w:t>
      </w:r>
      <w:r w:rsidR="00E507D8">
        <w:rPr>
          <w:rFonts w:cs="Times New Roman"/>
        </w:rPr>
        <w:t>, el 1.7%</w:t>
      </w:r>
      <w:r w:rsidR="00677905">
        <w:rPr>
          <w:rFonts w:cs="Times New Roman"/>
        </w:rPr>
        <w:t xml:space="preserve"> por los gobiernos locales</w:t>
      </w:r>
      <w:r w:rsidR="00DE779D">
        <w:rPr>
          <w:rFonts w:cs="Times New Roman"/>
        </w:rPr>
        <w:t xml:space="preserve"> y el restante 0.7% </w:t>
      </w:r>
      <w:r w:rsidR="00D62FE5">
        <w:rPr>
          <w:rFonts w:cs="Times New Roman"/>
        </w:rPr>
        <w:t>por el gobierno central extrapresupuestario.</w:t>
      </w:r>
    </w:p>
    <w:p w14:paraId="28FEA868" w14:textId="6A97551F" w:rsidR="005D4CC2" w:rsidRDefault="007601B1" w:rsidP="007601B1">
      <w:pPr>
        <w:rPr>
          <w:rFonts w:cs="Times New Roman"/>
        </w:rPr>
      </w:pPr>
      <w:r>
        <w:rPr>
          <w:rFonts w:cs="Times New Roman"/>
        </w:rPr>
        <w:t>Al mes de junio</w:t>
      </w:r>
      <w:r w:rsidR="00EB621C">
        <w:rPr>
          <w:rFonts w:cs="Times New Roman"/>
        </w:rPr>
        <w:t>,</w:t>
      </w:r>
      <w:r>
        <w:rPr>
          <w:rFonts w:cs="Times New Roman"/>
        </w:rPr>
        <w:t xml:space="preserve"> la segunda función de gobierno con mayor crecimiento interanual fue servicios públicos generales, estos ascendieron a Q12,860.1 millones, teniendo una tasa de crecimiento del 20.2% (Q2,161.6 millones)</w:t>
      </w:r>
      <w:r w:rsidRPr="00E9686B">
        <w:rPr>
          <w:rFonts w:cs="Times New Roman"/>
        </w:rPr>
        <w:t>. Cabe mencionar que el aumento en esta función se atribuye principalmente a la subcategoría de servicios generales que aumentaron en 61.1% (Q863.4 millones) y a la subcategoría de las transacciones de la deuda pública, que registró</w:t>
      </w:r>
      <w:r w:rsidR="00B44801">
        <w:rPr>
          <w:rFonts w:cs="Times New Roman"/>
        </w:rPr>
        <w:t xml:space="preserve"> un</w:t>
      </w:r>
      <w:r w:rsidRPr="00E9686B">
        <w:rPr>
          <w:rFonts w:cs="Times New Roman"/>
        </w:rPr>
        <w:t xml:space="preserve"> incremento de 9</w:t>
      </w:r>
      <w:r w:rsidRPr="00AB68DE">
        <w:rPr>
          <w:rFonts w:cs="Times New Roman"/>
        </w:rPr>
        <w:t>.5% (Q506.6 millones</w:t>
      </w:r>
      <w:r w:rsidR="00C22B3B">
        <w:rPr>
          <w:rFonts w:cs="Times New Roman"/>
        </w:rPr>
        <w:t>)</w:t>
      </w:r>
      <w:r w:rsidRPr="00AB68DE">
        <w:rPr>
          <w:rFonts w:cs="Times New Roman"/>
        </w:rPr>
        <w:t xml:space="preserve">. </w:t>
      </w:r>
      <w:r w:rsidRPr="00E9686B">
        <w:rPr>
          <w:rFonts w:cs="Times New Roman"/>
        </w:rPr>
        <w:t>El 61.2% de la ejecución de estas funciones se produce por el gobierno central presupuestario, el 19.</w:t>
      </w:r>
      <w:r w:rsidR="00EC77A8">
        <w:rPr>
          <w:rFonts w:cs="Times New Roman"/>
        </w:rPr>
        <w:t>5</w:t>
      </w:r>
      <w:r w:rsidRPr="00E9686B">
        <w:rPr>
          <w:rFonts w:cs="Times New Roman"/>
        </w:rPr>
        <w:t>% por el gobierno central extrapresupuestario, el 18.6% por los gobiernos locales y, el restante 0.7%, por los fondos de seguridad social.</w:t>
      </w:r>
    </w:p>
    <w:p w14:paraId="13399A30" w14:textId="01829706" w:rsidR="00F80C82" w:rsidRPr="00954142" w:rsidRDefault="005431FF" w:rsidP="006F3389">
      <w:pPr>
        <w:rPr>
          <w:rFonts w:cs="Times New Roman"/>
          <w:sz w:val="22"/>
          <w:szCs w:val="22"/>
        </w:rPr>
      </w:pPr>
      <w:r w:rsidRPr="00954142">
        <w:rPr>
          <w:rFonts w:cs="Times New Roman"/>
          <w:noProof/>
          <w:sz w:val="22"/>
          <w:szCs w:val="22"/>
          <w:lang w:eastAsia="es-GT"/>
        </w:rPr>
        <w:drawing>
          <wp:inline distT="0" distB="0" distL="0" distR="0" wp14:anchorId="29CE4EB6" wp14:editId="5106B3B3">
            <wp:extent cx="5934710" cy="3829792"/>
            <wp:effectExtent l="0" t="0" r="889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55CA7135" w14:textId="488802DC" w:rsidR="005D4CC2" w:rsidRDefault="005D4CC2" w:rsidP="005D4CC2">
      <w:pPr>
        <w:rPr>
          <w:rFonts w:cs="Times New Roman"/>
        </w:rPr>
      </w:pPr>
      <w:r>
        <w:rPr>
          <w:rFonts w:cs="Times New Roman"/>
        </w:rPr>
        <w:lastRenderedPageBreak/>
        <w:t xml:space="preserve">Por su parte, </w:t>
      </w:r>
      <w:r w:rsidRPr="00954142">
        <w:rPr>
          <w:rFonts w:cs="Times New Roman"/>
        </w:rPr>
        <w:t xml:space="preserve">las erogaciones destinadas a la función de </w:t>
      </w:r>
      <w:r>
        <w:rPr>
          <w:rFonts w:cs="Times New Roman"/>
        </w:rPr>
        <w:t>e</w:t>
      </w:r>
      <w:r w:rsidRPr="00954142">
        <w:rPr>
          <w:rFonts w:cs="Times New Roman"/>
        </w:rPr>
        <w:t>ducación</w:t>
      </w:r>
      <w:r>
        <w:rPr>
          <w:rFonts w:cs="Times New Roman"/>
        </w:rPr>
        <w:t xml:space="preserve"> ascendieron a </w:t>
      </w:r>
      <w:r w:rsidRPr="00954142">
        <w:rPr>
          <w:rFonts w:cs="Times New Roman"/>
        </w:rPr>
        <w:t>Q</w:t>
      </w:r>
      <w:r>
        <w:rPr>
          <w:rFonts w:cs="Times New Roman"/>
        </w:rPr>
        <w:t>12,923.6</w:t>
      </w:r>
      <w:r w:rsidRPr="00C758B2">
        <w:rPr>
          <w:rFonts w:cs="Times New Roman"/>
        </w:rPr>
        <w:t xml:space="preserve"> </w:t>
      </w:r>
      <w:r>
        <w:rPr>
          <w:rFonts w:cs="Times New Roman"/>
        </w:rPr>
        <w:t>millones</w:t>
      </w:r>
      <w:r w:rsidR="00EB621C">
        <w:rPr>
          <w:rFonts w:cs="Times New Roman"/>
        </w:rPr>
        <w:t>,</w:t>
      </w:r>
      <w:r w:rsidRPr="00954142">
        <w:rPr>
          <w:rFonts w:cs="Times New Roman"/>
        </w:rPr>
        <w:t xml:space="preserve"> </w:t>
      </w:r>
      <w:r>
        <w:rPr>
          <w:rFonts w:cs="Times New Roman"/>
        </w:rPr>
        <w:t xml:space="preserve">mostrando una tasa de crecimiento interanual del </w:t>
      </w:r>
      <w:r w:rsidRPr="00954142">
        <w:rPr>
          <w:rFonts w:cs="Times New Roman"/>
        </w:rPr>
        <w:t>1</w:t>
      </w:r>
      <w:r>
        <w:rPr>
          <w:rFonts w:cs="Times New Roman"/>
        </w:rPr>
        <w:t>5</w:t>
      </w:r>
      <w:r w:rsidRPr="00954142">
        <w:rPr>
          <w:rFonts w:cs="Times New Roman"/>
        </w:rPr>
        <w:t>.</w:t>
      </w:r>
      <w:r>
        <w:rPr>
          <w:rFonts w:cs="Times New Roman"/>
        </w:rPr>
        <w:t>9</w:t>
      </w:r>
      <w:r w:rsidRPr="00954142">
        <w:rPr>
          <w:rFonts w:cs="Times New Roman"/>
        </w:rPr>
        <w:t>% (Q</w:t>
      </w:r>
      <w:r>
        <w:rPr>
          <w:rFonts w:cs="Times New Roman"/>
        </w:rPr>
        <w:t>1,776.8</w:t>
      </w:r>
      <w:r w:rsidRPr="00954142">
        <w:rPr>
          <w:rFonts w:cs="Times New Roman"/>
        </w:rPr>
        <w:t xml:space="preserve"> millones). El mayor aumento dentro de esta categoría se </w:t>
      </w:r>
      <w:r>
        <w:rPr>
          <w:rFonts w:cs="Times New Roman"/>
        </w:rPr>
        <w:t xml:space="preserve">produjo </w:t>
      </w:r>
      <w:r w:rsidRPr="00954142">
        <w:rPr>
          <w:rFonts w:cs="Times New Roman"/>
        </w:rPr>
        <w:t xml:space="preserve">en las erogaciones </w:t>
      </w:r>
      <w:r>
        <w:rPr>
          <w:rFonts w:cs="Times New Roman"/>
        </w:rPr>
        <w:t>por servicios auxiliares de educación, que ejecutó Q555.8 millones adicionales a los observados en el año anterior y, las destinadas enseñanza preescolar y enseñanza primaria, que ejecutó Q515.9 millones adicionales</w:t>
      </w:r>
      <w:r w:rsidRPr="00954142">
        <w:rPr>
          <w:rFonts w:cs="Times New Roman"/>
        </w:rPr>
        <w:t>.</w:t>
      </w:r>
      <w:r>
        <w:rPr>
          <w:rFonts w:cs="Times New Roman"/>
        </w:rPr>
        <w:t xml:space="preserve"> Asimismo, el gobierno central presupuestario ejecutó el 85.6% de esta función, el gobierno central extrapresupuestario el 10.7% y los gobiernos locales 3.7%.</w:t>
      </w:r>
    </w:p>
    <w:p w14:paraId="5ED9811D" w14:textId="4C557CA7" w:rsidR="00F34514" w:rsidRPr="00954142" w:rsidRDefault="00975C62" w:rsidP="00F34514">
      <w:pPr>
        <w:rPr>
          <w:rFonts w:cs="Times New Roman"/>
        </w:rPr>
      </w:pPr>
      <w:r>
        <w:rPr>
          <w:rFonts w:cs="Times New Roman"/>
        </w:rPr>
        <w:t xml:space="preserve">En cuanto a las erogaciones destinadas a la función de </w:t>
      </w:r>
      <w:r w:rsidR="00BA0B0A">
        <w:rPr>
          <w:rFonts w:cs="Times New Roman"/>
        </w:rPr>
        <w:t>asuntos económicos</w:t>
      </w:r>
      <w:r w:rsidR="0050567A">
        <w:rPr>
          <w:rFonts w:cs="Times New Roman"/>
        </w:rPr>
        <w:t xml:space="preserve">, éstas ascendieron a </w:t>
      </w:r>
      <w:r w:rsidR="00F34514" w:rsidRPr="00954142">
        <w:rPr>
          <w:rFonts w:cs="Times New Roman"/>
        </w:rPr>
        <w:t>Q</w:t>
      </w:r>
      <w:r w:rsidR="00F34514">
        <w:rPr>
          <w:rFonts w:cs="Times New Roman"/>
        </w:rPr>
        <w:t>7,919.3</w:t>
      </w:r>
      <w:r w:rsidR="00F34514" w:rsidRPr="00954142">
        <w:rPr>
          <w:rFonts w:cs="Times New Roman"/>
        </w:rPr>
        <w:t xml:space="preserve"> millones</w:t>
      </w:r>
      <w:r w:rsidR="00F34514">
        <w:rPr>
          <w:rFonts w:cs="Times New Roman"/>
        </w:rPr>
        <w:t xml:space="preserve">, </w:t>
      </w:r>
      <w:r w:rsidR="00F34514" w:rsidRPr="00A94FAA">
        <w:rPr>
          <w:rFonts w:cs="Times New Roman"/>
        </w:rPr>
        <w:t xml:space="preserve">registrando una variación interanual del 24.7% (Q1,571.2 millones). El aumento en esta función se explica principalmente por la ejecución en la subcategoría de transporte que </w:t>
      </w:r>
      <w:r w:rsidR="001B6FC4">
        <w:rPr>
          <w:rFonts w:cs="Times New Roman"/>
        </w:rPr>
        <w:t xml:space="preserve">se </w:t>
      </w:r>
      <w:r w:rsidR="00F34514" w:rsidRPr="00A94FAA">
        <w:rPr>
          <w:rFonts w:cs="Times New Roman"/>
        </w:rPr>
        <w:t>incrementó en 72.7% (Q2,454.1 millones) de los cuales Q</w:t>
      </w:r>
      <w:r w:rsidR="00A94FAA" w:rsidRPr="00A94FAA">
        <w:rPr>
          <w:rFonts w:cs="Times New Roman"/>
        </w:rPr>
        <w:t>1,907.2</w:t>
      </w:r>
      <w:r w:rsidR="00F34514" w:rsidRPr="00A94FAA">
        <w:rPr>
          <w:rFonts w:cs="Times New Roman"/>
        </w:rPr>
        <w:t xml:space="preserve"> millones son producto de </w:t>
      </w:r>
      <w:r w:rsidR="00A94FAA" w:rsidRPr="00A94FAA">
        <w:rPr>
          <w:rFonts w:cs="Times New Roman"/>
        </w:rPr>
        <w:t xml:space="preserve">la </w:t>
      </w:r>
      <w:r w:rsidR="00F34514" w:rsidRPr="00A94FAA">
        <w:rPr>
          <w:rFonts w:cs="Times New Roman"/>
        </w:rPr>
        <w:t>ejecución en el renglón de mantenimiento y reparación de bienes nacionales de uso común (</w:t>
      </w:r>
      <w:r w:rsidR="00A94FAA" w:rsidRPr="00A94FAA">
        <w:rPr>
          <w:rFonts w:cs="Times New Roman"/>
        </w:rPr>
        <w:t xml:space="preserve">que </w:t>
      </w:r>
      <w:r w:rsidR="00F34514" w:rsidRPr="00A94FAA">
        <w:rPr>
          <w:rFonts w:cs="Times New Roman"/>
        </w:rPr>
        <w:t>incluye la reparación de carreteras, puentes, puertos y aeropuertos). En esta función ha sido el gobierno central presupuestario quien ha ejecutado el 69.4%, seguido de los gobiernos locales con el 26.9% y el gobierno central extrapresupuestario el restante 3</w:t>
      </w:r>
      <w:r w:rsidR="00F34514">
        <w:rPr>
          <w:rFonts w:cs="Times New Roman"/>
        </w:rPr>
        <w:t>.7%.</w:t>
      </w:r>
    </w:p>
    <w:p w14:paraId="7076795D" w14:textId="24E27B34" w:rsidR="00714BA7" w:rsidRPr="0020421C" w:rsidRDefault="00E13F25" w:rsidP="00D319A6">
      <w:pPr>
        <w:rPr>
          <w:rFonts w:cs="Times New Roman"/>
        </w:rPr>
      </w:pPr>
      <w:r w:rsidRPr="0020421C">
        <w:rPr>
          <w:rFonts w:cs="Times New Roman"/>
        </w:rPr>
        <w:t>Cabe mencionar que</w:t>
      </w:r>
      <w:r w:rsidR="00EB621C">
        <w:rPr>
          <w:rFonts w:cs="Times New Roman"/>
        </w:rPr>
        <w:t>,</w:t>
      </w:r>
      <w:r w:rsidRPr="0020421C">
        <w:rPr>
          <w:rFonts w:cs="Times New Roman"/>
        </w:rPr>
        <w:t xml:space="preserve"> la única función que</w:t>
      </w:r>
      <w:r w:rsidR="006B67CF" w:rsidRPr="0020421C">
        <w:rPr>
          <w:rFonts w:cs="Times New Roman"/>
        </w:rPr>
        <w:t xml:space="preserve"> ha</w:t>
      </w:r>
      <w:r w:rsidRPr="0020421C">
        <w:rPr>
          <w:rFonts w:cs="Times New Roman"/>
        </w:rPr>
        <w:t xml:space="preserve"> mostrado una disminución en su ejecución respecto al año previo son las enfocadas a defensa que </w:t>
      </w:r>
      <w:r w:rsidR="00BE7FCD" w:rsidRPr="0020421C">
        <w:rPr>
          <w:rFonts w:cs="Times New Roman"/>
        </w:rPr>
        <w:t xml:space="preserve">al ascender a </w:t>
      </w:r>
      <w:r w:rsidR="00AD18BE" w:rsidRPr="0020421C">
        <w:rPr>
          <w:rFonts w:cs="Times New Roman"/>
        </w:rPr>
        <w:t>Q</w:t>
      </w:r>
      <w:r w:rsidR="00BE7FCD" w:rsidRPr="0020421C">
        <w:rPr>
          <w:rFonts w:cs="Times New Roman"/>
        </w:rPr>
        <w:t>909.3</w:t>
      </w:r>
      <w:r w:rsidR="00AD18BE" w:rsidRPr="0020421C">
        <w:rPr>
          <w:rFonts w:cs="Times New Roman"/>
        </w:rPr>
        <w:t xml:space="preserve"> millones </w:t>
      </w:r>
      <w:r w:rsidR="00BE7FCD" w:rsidRPr="0020421C">
        <w:rPr>
          <w:rFonts w:cs="Times New Roman"/>
        </w:rPr>
        <w:t xml:space="preserve">muestra </w:t>
      </w:r>
      <w:r w:rsidR="00AD18BE" w:rsidRPr="0020421C">
        <w:rPr>
          <w:rFonts w:cs="Times New Roman"/>
        </w:rPr>
        <w:t xml:space="preserve">una tasa negativa del </w:t>
      </w:r>
      <w:r w:rsidR="00BE7FCD" w:rsidRPr="0020421C">
        <w:rPr>
          <w:rFonts w:cs="Times New Roman"/>
        </w:rPr>
        <w:t>12.3</w:t>
      </w:r>
      <w:r w:rsidR="00AD18BE" w:rsidRPr="0020421C">
        <w:rPr>
          <w:rFonts w:cs="Times New Roman"/>
        </w:rPr>
        <w:t xml:space="preserve">% </w:t>
      </w:r>
      <w:r w:rsidR="00D4489D" w:rsidRPr="0020421C">
        <w:rPr>
          <w:rFonts w:cs="Times New Roman"/>
        </w:rPr>
        <w:t>(</w:t>
      </w:r>
      <w:r w:rsidR="00AD18BE" w:rsidRPr="0020421C">
        <w:rPr>
          <w:rFonts w:cs="Times New Roman"/>
        </w:rPr>
        <w:t>Q1</w:t>
      </w:r>
      <w:r w:rsidR="00BE7FCD" w:rsidRPr="0020421C">
        <w:rPr>
          <w:rFonts w:cs="Times New Roman"/>
        </w:rPr>
        <w:t>27.5</w:t>
      </w:r>
      <w:r w:rsidR="00AD18BE" w:rsidRPr="0020421C">
        <w:rPr>
          <w:rFonts w:cs="Times New Roman"/>
        </w:rPr>
        <w:t xml:space="preserve"> millones</w:t>
      </w:r>
      <w:r w:rsidR="00D4489D" w:rsidRPr="0020421C">
        <w:rPr>
          <w:rFonts w:cs="Times New Roman"/>
        </w:rPr>
        <w:t>)</w:t>
      </w:r>
      <w:r w:rsidR="00E42D0A" w:rsidRPr="0020421C">
        <w:rPr>
          <w:rFonts w:cs="Times New Roman"/>
        </w:rPr>
        <w:t>.</w:t>
      </w:r>
      <w:r w:rsidR="00E504B1" w:rsidRPr="0020421C">
        <w:rPr>
          <w:rFonts w:cs="Times New Roman"/>
        </w:rPr>
        <w:t xml:space="preserve"> Este comportamiento es explicado principalmente por l</w:t>
      </w:r>
      <w:r w:rsidR="00961626" w:rsidRPr="0020421C">
        <w:rPr>
          <w:rFonts w:cs="Times New Roman"/>
        </w:rPr>
        <w:t xml:space="preserve">as erogaciones en defensa militar, que </w:t>
      </w:r>
      <w:r w:rsidR="00BE7FCD" w:rsidRPr="0020421C">
        <w:rPr>
          <w:rFonts w:cs="Times New Roman"/>
        </w:rPr>
        <w:t xml:space="preserve">mostró </w:t>
      </w:r>
      <w:r w:rsidR="00961626" w:rsidRPr="0020421C">
        <w:rPr>
          <w:rFonts w:cs="Times New Roman"/>
        </w:rPr>
        <w:t>una disminución de Q1</w:t>
      </w:r>
      <w:r w:rsidR="00BE7FCD" w:rsidRPr="0020421C">
        <w:rPr>
          <w:rFonts w:cs="Times New Roman"/>
        </w:rPr>
        <w:t>47.0</w:t>
      </w:r>
      <w:r w:rsidR="00961626" w:rsidRPr="0020421C">
        <w:rPr>
          <w:rFonts w:cs="Times New Roman"/>
        </w:rPr>
        <w:t xml:space="preserve"> millones respecto al mismo periodo del </w:t>
      </w:r>
      <w:r w:rsidR="00BE7FCD" w:rsidRPr="0020421C">
        <w:rPr>
          <w:rFonts w:cs="Times New Roman"/>
        </w:rPr>
        <w:t>inmediato anterior</w:t>
      </w:r>
      <w:r w:rsidR="00961626" w:rsidRPr="0020421C">
        <w:rPr>
          <w:rFonts w:cs="Times New Roman"/>
        </w:rPr>
        <w:t>.</w:t>
      </w:r>
    </w:p>
    <w:p w14:paraId="152CF97B" w14:textId="6365522C" w:rsidR="00840E88" w:rsidRPr="00954142" w:rsidRDefault="00840E88" w:rsidP="001B3E33">
      <w:pPr>
        <w:pStyle w:val="Ttulo1"/>
        <w:numPr>
          <w:ilvl w:val="0"/>
          <w:numId w:val="12"/>
        </w:numPr>
        <w:rPr>
          <w:lang w:val="es-ES_tradnl" w:eastAsia="es-ES"/>
        </w:rPr>
      </w:pPr>
      <w:bookmarkStart w:id="1233" w:name="_Toc143170072"/>
      <w:r w:rsidRPr="00954142">
        <w:rPr>
          <w:lang w:val="es-MX"/>
        </w:rPr>
        <w:t>Resultados</w:t>
      </w:r>
      <w:r w:rsidR="001B3E33" w:rsidRPr="00954142">
        <w:rPr>
          <w:lang w:val="es-ES_tradnl" w:eastAsia="es-ES"/>
        </w:rPr>
        <w:t xml:space="preserve"> Fiscales</w:t>
      </w:r>
      <w:bookmarkEnd w:id="1233"/>
    </w:p>
    <w:p w14:paraId="1B0B0861" w14:textId="7405193D" w:rsidR="00364844" w:rsidRPr="00954142" w:rsidRDefault="00BD6585" w:rsidP="001B3E33">
      <w:pPr>
        <w:pStyle w:val="Ttulo2"/>
        <w:numPr>
          <w:ilvl w:val="1"/>
          <w:numId w:val="12"/>
        </w:numPr>
        <w:tabs>
          <w:tab w:val="left" w:pos="426"/>
        </w:tabs>
        <w:spacing w:before="0"/>
        <w:rPr>
          <w:rFonts w:cs="Times New Roman"/>
          <w:sz w:val="22"/>
          <w:szCs w:val="22"/>
        </w:rPr>
      </w:pPr>
      <w:bookmarkStart w:id="1234" w:name="_Toc42069123"/>
      <w:bookmarkStart w:id="1235" w:name="_Toc49422069"/>
      <w:bookmarkStart w:id="1236" w:name="_Toc49422095"/>
      <w:bookmarkStart w:id="1237" w:name="_Toc49430674"/>
      <w:bookmarkStart w:id="1238" w:name="_Toc49430700"/>
      <w:bookmarkStart w:id="1239" w:name="_Toc49750477"/>
      <w:bookmarkStart w:id="1240" w:name="_Toc49750727"/>
      <w:bookmarkStart w:id="1241" w:name="_Toc49750755"/>
      <w:bookmarkStart w:id="1242" w:name="_Toc55284841"/>
      <w:bookmarkStart w:id="1243" w:name="_Toc55298859"/>
      <w:bookmarkStart w:id="1244" w:name="_Toc55373842"/>
      <w:bookmarkStart w:id="1245" w:name="_Toc55374018"/>
      <w:bookmarkStart w:id="1246" w:name="_Toc55375155"/>
      <w:bookmarkStart w:id="1247" w:name="_Toc55396563"/>
      <w:bookmarkStart w:id="1248" w:name="_Toc65230560"/>
      <w:bookmarkStart w:id="1249" w:name="_Toc65230798"/>
      <w:bookmarkStart w:id="1250" w:name="_Toc65232082"/>
      <w:bookmarkStart w:id="1251" w:name="_Toc65232327"/>
      <w:bookmarkStart w:id="1252" w:name="_Toc66716186"/>
      <w:bookmarkStart w:id="1253" w:name="_Toc71097230"/>
      <w:bookmarkStart w:id="1254" w:name="_Toc71097261"/>
      <w:bookmarkStart w:id="1255" w:name="_Toc71097336"/>
      <w:bookmarkStart w:id="1256" w:name="_Toc71108076"/>
      <w:bookmarkStart w:id="1257" w:name="_Toc79055270"/>
      <w:bookmarkStart w:id="1258" w:name="_Toc79055301"/>
      <w:bookmarkStart w:id="1259" w:name="_Toc79060192"/>
      <w:bookmarkStart w:id="1260" w:name="_Toc79060479"/>
      <w:bookmarkStart w:id="1261" w:name="_Toc81307836"/>
      <w:bookmarkStart w:id="1262" w:name="_Toc83376497"/>
      <w:bookmarkStart w:id="1263" w:name="_Toc86386736"/>
      <w:bookmarkStart w:id="1264" w:name="_Toc86405422"/>
      <w:bookmarkStart w:id="1265" w:name="_Toc98162452"/>
      <w:bookmarkStart w:id="1266" w:name="_Toc98162484"/>
      <w:bookmarkStart w:id="1267" w:name="_Toc98235010"/>
      <w:bookmarkStart w:id="1268" w:name="_Toc98235205"/>
      <w:bookmarkStart w:id="1269" w:name="_Toc98235290"/>
      <w:bookmarkStart w:id="1270" w:name="_Toc98757160"/>
      <w:bookmarkStart w:id="1271" w:name="_Toc101874715"/>
      <w:bookmarkStart w:id="1272" w:name="_Toc101954171"/>
      <w:bookmarkStart w:id="1273" w:name="_Toc101971988"/>
      <w:bookmarkStart w:id="1274" w:name="_Toc101974080"/>
      <w:bookmarkStart w:id="1275" w:name="_Toc102039765"/>
      <w:bookmarkStart w:id="1276" w:name="_Toc102039803"/>
      <w:bookmarkStart w:id="1277" w:name="_Toc102039843"/>
      <w:bookmarkStart w:id="1278" w:name="_Toc102039874"/>
      <w:bookmarkStart w:id="1279" w:name="_Toc102040932"/>
      <w:bookmarkStart w:id="1280" w:name="_Toc102477780"/>
      <w:bookmarkStart w:id="1281" w:name="_Toc102477811"/>
      <w:bookmarkStart w:id="1282" w:name="_Toc109824841"/>
      <w:bookmarkStart w:id="1283" w:name="_Toc109828797"/>
      <w:bookmarkStart w:id="1284" w:name="_Toc109828860"/>
      <w:bookmarkStart w:id="1285" w:name="_Toc109829036"/>
      <w:bookmarkStart w:id="1286" w:name="_Toc109829067"/>
      <w:bookmarkStart w:id="1287" w:name="_Toc109833911"/>
      <w:bookmarkStart w:id="1288" w:name="_Toc110237454"/>
      <w:bookmarkStart w:id="1289" w:name="_Toc117775331"/>
      <w:bookmarkStart w:id="1290" w:name="_Toc117781300"/>
      <w:bookmarkStart w:id="1291" w:name="_Toc125620828"/>
      <w:bookmarkStart w:id="1292" w:name="_Toc125620859"/>
      <w:bookmarkStart w:id="1293" w:name="_Toc125620890"/>
      <w:bookmarkStart w:id="1294" w:name="_Toc125620926"/>
      <w:bookmarkStart w:id="1295" w:name="_Toc125620957"/>
      <w:bookmarkStart w:id="1296" w:name="_Toc125620991"/>
      <w:bookmarkStart w:id="1297" w:name="_Toc125621044"/>
      <w:bookmarkStart w:id="1298" w:name="_Toc125621098"/>
      <w:bookmarkStart w:id="1299" w:name="_Toc125623576"/>
      <w:bookmarkStart w:id="1300" w:name="_Toc125623608"/>
      <w:bookmarkStart w:id="1301" w:name="_Toc125623640"/>
      <w:bookmarkStart w:id="1302" w:name="_Toc125970386"/>
      <w:bookmarkStart w:id="1303" w:name="_Toc125970418"/>
      <w:bookmarkStart w:id="1304" w:name="_Toc127365869"/>
      <w:bookmarkStart w:id="1305" w:name="_Toc127434620"/>
      <w:bookmarkStart w:id="1306" w:name="_Toc127436988"/>
      <w:bookmarkStart w:id="1307" w:name="_Toc127437349"/>
      <w:bookmarkStart w:id="1308" w:name="_Toc127437704"/>
      <w:bookmarkStart w:id="1309" w:name="_Toc14317007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r w:rsidRPr="00954142">
        <w:rPr>
          <w:rFonts w:cs="Times New Roman"/>
          <w:sz w:val="22"/>
          <w:szCs w:val="22"/>
        </w:rPr>
        <w:t>R</w:t>
      </w:r>
      <w:r w:rsidR="00540B30" w:rsidRPr="00954142">
        <w:rPr>
          <w:rFonts w:cs="Times New Roman"/>
          <w:sz w:val="22"/>
          <w:szCs w:val="22"/>
        </w:rPr>
        <w:t xml:space="preserve">esultado </w:t>
      </w:r>
      <w:r w:rsidR="003C3E6F" w:rsidRPr="00954142">
        <w:rPr>
          <w:rFonts w:cs="Times New Roman"/>
          <w:sz w:val="22"/>
          <w:szCs w:val="22"/>
        </w:rPr>
        <w:t>O</w:t>
      </w:r>
      <w:r w:rsidR="00540B30" w:rsidRPr="00954142">
        <w:rPr>
          <w:rFonts w:cs="Times New Roman"/>
          <w:sz w:val="22"/>
          <w:szCs w:val="22"/>
        </w:rPr>
        <w:t>perativo</w:t>
      </w:r>
      <w:bookmarkEnd w:id="1309"/>
      <w:r w:rsidR="00EE52DF" w:rsidRPr="00954142">
        <w:rPr>
          <w:rFonts w:cs="Times New Roman"/>
          <w:sz w:val="22"/>
          <w:szCs w:val="22"/>
        </w:rPr>
        <w:t xml:space="preserve"> </w:t>
      </w:r>
      <w:bookmarkEnd w:id="643"/>
    </w:p>
    <w:p w14:paraId="464CD2FB" w14:textId="4B9C669D" w:rsidR="00467409" w:rsidRPr="00960CD4" w:rsidRDefault="00467409" w:rsidP="00467409">
      <w:pPr>
        <w:rPr>
          <w:rFonts w:cs="Times New Roman"/>
        </w:rPr>
      </w:pPr>
      <w:r w:rsidRPr="00954142">
        <w:rPr>
          <w:rFonts w:cs="Times New Roman"/>
        </w:rPr>
        <w:t>El resultado operativo</w:t>
      </w:r>
      <w:r w:rsidR="00F0322E">
        <w:rPr>
          <w:rFonts w:cs="Times New Roman"/>
        </w:rPr>
        <w:t xml:space="preserve"> </w:t>
      </w:r>
      <w:r w:rsidR="00E51ACB">
        <w:rPr>
          <w:rFonts w:cs="Times New Roman"/>
        </w:rPr>
        <w:t xml:space="preserve">al segundo </w:t>
      </w:r>
      <w:r w:rsidR="00F0322E">
        <w:rPr>
          <w:rFonts w:cs="Times New Roman"/>
        </w:rPr>
        <w:t xml:space="preserve">trimestre del 2023 </w:t>
      </w:r>
      <w:r w:rsidR="006656FD">
        <w:rPr>
          <w:rFonts w:cs="Times New Roman"/>
        </w:rPr>
        <w:t>es</w:t>
      </w:r>
      <w:r w:rsidR="00E51ACB">
        <w:rPr>
          <w:rFonts w:cs="Times New Roman"/>
        </w:rPr>
        <w:t xml:space="preserve"> </w:t>
      </w:r>
      <w:r w:rsidR="00AE4872">
        <w:rPr>
          <w:rFonts w:cs="Times New Roman"/>
        </w:rPr>
        <w:t>positivo</w:t>
      </w:r>
      <w:r w:rsidR="00E6412C">
        <w:rPr>
          <w:rFonts w:cs="Times New Roman"/>
        </w:rPr>
        <w:t xml:space="preserve"> por </w:t>
      </w:r>
      <w:r w:rsidR="000E28B4">
        <w:rPr>
          <w:rFonts w:cs="Times New Roman"/>
        </w:rPr>
        <w:t>Q</w:t>
      </w:r>
      <w:r w:rsidR="00E51ACB">
        <w:rPr>
          <w:rFonts w:cs="Times New Roman"/>
        </w:rPr>
        <w:t>6,962.6</w:t>
      </w:r>
      <w:r w:rsidR="000E28B4">
        <w:rPr>
          <w:rFonts w:cs="Times New Roman"/>
        </w:rPr>
        <w:t xml:space="preserve"> </w:t>
      </w:r>
      <w:r w:rsidR="00FA7AA8">
        <w:rPr>
          <w:rFonts w:cs="Times New Roman"/>
        </w:rPr>
        <w:t>millones</w:t>
      </w:r>
      <w:r w:rsidR="00E51ACB">
        <w:rPr>
          <w:rFonts w:cs="Times New Roman"/>
        </w:rPr>
        <w:t xml:space="preserve"> y </w:t>
      </w:r>
      <w:r w:rsidR="005A31DF">
        <w:rPr>
          <w:rFonts w:cs="Times New Roman"/>
        </w:rPr>
        <w:t xml:space="preserve">en términos del </w:t>
      </w:r>
      <w:r w:rsidR="005A31DF" w:rsidRPr="00960CD4">
        <w:rPr>
          <w:rFonts w:cs="Times New Roman"/>
        </w:rPr>
        <w:t xml:space="preserve">resultado operativo primario </w:t>
      </w:r>
      <w:r w:rsidRPr="00960CD4">
        <w:rPr>
          <w:rFonts w:cs="Times New Roman"/>
        </w:rPr>
        <w:t>(</w:t>
      </w:r>
      <w:r w:rsidR="00524029">
        <w:rPr>
          <w:rFonts w:cs="Times New Roman"/>
        </w:rPr>
        <w:t xml:space="preserve">sin </w:t>
      </w:r>
      <w:r w:rsidRPr="00960CD4">
        <w:rPr>
          <w:rFonts w:cs="Times New Roman"/>
        </w:rPr>
        <w:t>considerar el pago de intereses)</w:t>
      </w:r>
      <w:r w:rsidR="005A31DF" w:rsidRPr="00960CD4">
        <w:rPr>
          <w:rFonts w:cs="Times New Roman"/>
        </w:rPr>
        <w:t xml:space="preserve"> </w:t>
      </w:r>
      <w:r w:rsidR="00E51ACB">
        <w:rPr>
          <w:rFonts w:cs="Times New Roman"/>
        </w:rPr>
        <w:t xml:space="preserve">fue </w:t>
      </w:r>
      <w:r w:rsidR="005A31DF" w:rsidRPr="00960CD4">
        <w:rPr>
          <w:rFonts w:cs="Times New Roman"/>
        </w:rPr>
        <w:t xml:space="preserve">positivo por </w:t>
      </w:r>
      <w:r w:rsidR="007E0721" w:rsidRPr="00960CD4">
        <w:rPr>
          <w:rFonts w:cs="Times New Roman"/>
        </w:rPr>
        <w:t>Q</w:t>
      </w:r>
      <w:r w:rsidR="00E51ACB">
        <w:rPr>
          <w:rFonts w:cs="Times New Roman"/>
        </w:rPr>
        <w:t>12</w:t>
      </w:r>
      <w:r w:rsidR="007E0721" w:rsidRPr="00960CD4">
        <w:rPr>
          <w:rFonts w:cs="Times New Roman"/>
        </w:rPr>
        <w:t>,</w:t>
      </w:r>
      <w:r w:rsidR="00E51ACB">
        <w:rPr>
          <w:rFonts w:cs="Times New Roman"/>
        </w:rPr>
        <w:t>723</w:t>
      </w:r>
      <w:r w:rsidR="007E0721" w:rsidRPr="00960CD4">
        <w:rPr>
          <w:rFonts w:cs="Times New Roman"/>
        </w:rPr>
        <w:t>.</w:t>
      </w:r>
      <w:r w:rsidR="00E23744" w:rsidRPr="00960CD4">
        <w:rPr>
          <w:rFonts w:cs="Times New Roman"/>
        </w:rPr>
        <w:t>4</w:t>
      </w:r>
      <w:r w:rsidR="007E0721" w:rsidRPr="00960CD4">
        <w:rPr>
          <w:rFonts w:cs="Times New Roman"/>
        </w:rPr>
        <w:t xml:space="preserve"> </w:t>
      </w:r>
      <w:r w:rsidR="00F67DF4" w:rsidRPr="00960CD4">
        <w:rPr>
          <w:rFonts w:cs="Times New Roman"/>
        </w:rPr>
        <w:t>millones</w:t>
      </w:r>
      <w:r w:rsidRPr="00960CD4">
        <w:rPr>
          <w:rFonts w:cs="Times New Roman"/>
        </w:rPr>
        <w:t>.</w:t>
      </w:r>
    </w:p>
    <w:p w14:paraId="43A5B7BF" w14:textId="7EC4BEA3" w:rsidR="00991996" w:rsidRPr="00954142" w:rsidRDefault="0073732B" w:rsidP="00467409">
      <w:pPr>
        <w:rPr>
          <w:rFonts w:cs="Times New Roman"/>
        </w:rPr>
      </w:pPr>
      <w:r>
        <w:rPr>
          <w:rFonts w:cs="Times New Roman"/>
        </w:rPr>
        <w:t>Por división de subsectores</w:t>
      </w:r>
      <w:r w:rsidR="00991996" w:rsidRPr="00960CD4">
        <w:rPr>
          <w:rFonts w:cs="Times New Roman"/>
        </w:rPr>
        <w:t xml:space="preserve">, el resultado operativo </w:t>
      </w:r>
      <w:r w:rsidR="00B02141" w:rsidRPr="00960CD4">
        <w:rPr>
          <w:rFonts w:cs="Times New Roman"/>
        </w:rPr>
        <w:t>del gobierno central presupuestario fue</w:t>
      </w:r>
      <w:r w:rsidR="00C447A0">
        <w:rPr>
          <w:rFonts w:cs="Times New Roman"/>
        </w:rPr>
        <w:t xml:space="preserve"> negativo en </w:t>
      </w:r>
      <w:r w:rsidR="00B45229" w:rsidRPr="00960CD4">
        <w:rPr>
          <w:rFonts w:cs="Times New Roman"/>
        </w:rPr>
        <w:t>Q</w:t>
      </w:r>
      <w:r>
        <w:rPr>
          <w:rFonts w:cs="Times New Roman"/>
        </w:rPr>
        <w:t>2,650.3</w:t>
      </w:r>
      <w:r w:rsidR="00B96453" w:rsidRPr="00960CD4">
        <w:rPr>
          <w:rFonts w:cs="Times New Roman"/>
        </w:rPr>
        <w:t xml:space="preserve"> millones</w:t>
      </w:r>
      <w:r w:rsidR="00A07027" w:rsidRPr="00960CD4">
        <w:rPr>
          <w:rFonts w:cs="Times New Roman"/>
        </w:rPr>
        <w:t xml:space="preserve">, mientras que el gobierno central extrapresupuestario </w:t>
      </w:r>
      <w:r w:rsidR="00904AEF">
        <w:rPr>
          <w:rFonts w:cs="Times New Roman"/>
        </w:rPr>
        <w:t>tuvo un resultado positivo po</w:t>
      </w:r>
      <w:r w:rsidR="0076690D">
        <w:rPr>
          <w:rFonts w:cs="Times New Roman"/>
        </w:rPr>
        <w:t>r</w:t>
      </w:r>
      <w:r w:rsidR="00A07027" w:rsidRPr="00960CD4">
        <w:rPr>
          <w:rFonts w:cs="Times New Roman"/>
        </w:rPr>
        <w:t xml:space="preserve"> Q</w:t>
      </w:r>
      <w:r>
        <w:rPr>
          <w:rFonts w:cs="Times New Roman"/>
        </w:rPr>
        <w:t>1,6</w:t>
      </w:r>
      <w:r w:rsidR="004A6F6B">
        <w:rPr>
          <w:rFonts w:cs="Times New Roman"/>
        </w:rPr>
        <w:t>61</w:t>
      </w:r>
      <w:r>
        <w:rPr>
          <w:rFonts w:cs="Times New Roman"/>
        </w:rPr>
        <w:t>.</w:t>
      </w:r>
      <w:r w:rsidR="00265AE6">
        <w:rPr>
          <w:rFonts w:cs="Times New Roman"/>
        </w:rPr>
        <w:t>9</w:t>
      </w:r>
      <w:r w:rsidR="00A07027" w:rsidRPr="00960CD4">
        <w:rPr>
          <w:rFonts w:cs="Times New Roman"/>
        </w:rPr>
        <w:t xml:space="preserve"> millones, los fondos de seguridad </w:t>
      </w:r>
      <w:r w:rsidR="004B047F" w:rsidRPr="00960CD4">
        <w:rPr>
          <w:rFonts w:cs="Times New Roman"/>
        </w:rPr>
        <w:t>social por Q1</w:t>
      </w:r>
      <w:r>
        <w:rPr>
          <w:rFonts w:cs="Times New Roman"/>
        </w:rPr>
        <w:t>,902.8</w:t>
      </w:r>
      <w:r w:rsidR="00B96453" w:rsidRPr="00960CD4">
        <w:rPr>
          <w:rFonts w:cs="Times New Roman"/>
        </w:rPr>
        <w:t xml:space="preserve"> millones</w:t>
      </w:r>
      <w:r w:rsidR="004B047F" w:rsidRPr="00960CD4">
        <w:rPr>
          <w:rFonts w:cs="Times New Roman"/>
        </w:rPr>
        <w:t xml:space="preserve"> y los gobiernos locales de Q</w:t>
      </w:r>
      <w:r>
        <w:rPr>
          <w:rFonts w:cs="Times New Roman"/>
        </w:rPr>
        <w:t>6,04</w:t>
      </w:r>
      <w:r w:rsidR="00EA555A">
        <w:rPr>
          <w:rFonts w:cs="Times New Roman"/>
        </w:rPr>
        <w:t>8</w:t>
      </w:r>
      <w:r>
        <w:rPr>
          <w:rFonts w:cs="Times New Roman"/>
        </w:rPr>
        <w:t>.</w:t>
      </w:r>
      <w:r w:rsidR="00EA555A">
        <w:rPr>
          <w:rFonts w:cs="Times New Roman"/>
        </w:rPr>
        <w:t>2</w:t>
      </w:r>
      <w:r w:rsidR="004B047F" w:rsidRPr="00960CD4">
        <w:rPr>
          <w:rFonts w:cs="Times New Roman"/>
        </w:rPr>
        <w:t xml:space="preserve"> millones.</w:t>
      </w:r>
    </w:p>
    <w:p w14:paraId="0C721065" w14:textId="6D032A62" w:rsidR="00973029" w:rsidRPr="00954142" w:rsidRDefault="00973029" w:rsidP="0045490A">
      <w:pPr>
        <w:pStyle w:val="Sinespaciado"/>
        <w:jc w:val="both"/>
        <w:rPr>
          <w:rFonts w:ascii="Times New Roman" w:hAnsi="Times New Roman" w:cs="Times New Roman"/>
        </w:rPr>
      </w:pPr>
    </w:p>
    <w:p w14:paraId="10242320" w14:textId="2BF308AE" w:rsidR="00374C59" w:rsidRPr="00954142" w:rsidRDefault="00136038" w:rsidP="001B3E33">
      <w:pPr>
        <w:pStyle w:val="Ttulo2"/>
        <w:numPr>
          <w:ilvl w:val="1"/>
          <w:numId w:val="12"/>
        </w:numPr>
        <w:tabs>
          <w:tab w:val="left" w:pos="426"/>
        </w:tabs>
        <w:spacing w:before="0"/>
        <w:ind w:left="284" w:hanging="284"/>
        <w:rPr>
          <w:rFonts w:cs="Times New Roman"/>
          <w:sz w:val="22"/>
          <w:szCs w:val="22"/>
        </w:rPr>
      </w:pPr>
      <w:bookmarkStart w:id="1310" w:name="_Toc143170074"/>
      <w:r>
        <w:rPr>
          <w:rFonts w:cs="Times New Roman"/>
          <w:sz w:val="22"/>
          <w:szCs w:val="22"/>
        </w:rPr>
        <w:t>Endeudamiento</w:t>
      </w:r>
      <w:r w:rsidR="00B4032C" w:rsidRPr="00954142">
        <w:rPr>
          <w:rFonts w:cs="Times New Roman"/>
          <w:sz w:val="22"/>
          <w:szCs w:val="22"/>
        </w:rPr>
        <w:t xml:space="preserve"> Neto</w:t>
      </w:r>
      <w:bookmarkEnd w:id="1310"/>
    </w:p>
    <w:p w14:paraId="17B7EC9C" w14:textId="3BC03728" w:rsidR="00B3292C" w:rsidRDefault="00671A58" w:rsidP="00EA2BD7">
      <w:pPr>
        <w:rPr>
          <w:rFonts w:cs="Times New Roman"/>
        </w:rPr>
      </w:pPr>
      <w:r>
        <w:rPr>
          <w:rFonts w:cs="Times New Roman"/>
        </w:rPr>
        <w:t>En cuanto el resultado total de las operaciones del gobierno general</w:t>
      </w:r>
      <w:r w:rsidR="00D911FF">
        <w:rPr>
          <w:rFonts w:cs="Times New Roman"/>
        </w:rPr>
        <w:t>,</w:t>
      </w:r>
      <w:r w:rsidR="00325B1D">
        <w:rPr>
          <w:rFonts w:cs="Times New Roman"/>
        </w:rPr>
        <w:t xml:space="preserve"> </w:t>
      </w:r>
      <w:r w:rsidR="00457589">
        <w:rPr>
          <w:rFonts w:cs="Times New Roman"/>
        </w:rPr>
        <w:t>al segundo trimestre de 2023</w:t>
      </w:r>
      <w:r w:rsidR="00736754">
        <w:rPr>
          <w:rFonts w:cs="Times New Roman"/>
        </w:rPr>
        <w:t>,</w:t>
      </w:r>
      <w:r w:rsidR="00457589">
        <w:rPr>
          <w:rFonts w:cs="Times New Roman"/>
        </w:rPr>
        <w:t xml:space="preserve"> se registró </w:t>
      </w:r>
      <w:r w:rsidR="00325B1D">
        <w:rPr>
          <w:rFonts w:cs="Times New Roman"/>
        </w:rPr>
        <w:t xml:space="preserve">un </w:t>
      </w:r>
      <w:r w:rsidR="00457589">
        <w:rPr>
          <w:rFonts w:cs="Times New Roman"/>
        </w:rPr>
        <w:t>endeudamiento</w:t>
      </w:r>
      <w:r w:rsidR="00325B1D">
        <w:rPr>
          <w:rFonts w:cs="Times New Roman"/>
        </w:rPr>
        <w:t xml:space="preserve"> neto (</w:t>
      </w:r>
      <w:r w:rsidR="00457589">
        <w:rPr>
          <w:rFonts w:cs="Times New Roman"/>
        </w:rPr>
        <w:t>déficit</w:t>
      </w:r>
      <w:r w:rsidR="00325B1D">
        <w:rPr>
          <w:rFonts w:cs="Times New Roman"/>
        </w:rPr>
        <w:t xml:space="preserve">) por </w:t>
      </w:r>
      <w:r w:rsidR="00647DB5">
        <w:rPr>
          <w:rFonts w:cs="Times New Roman"/>
        </w:rPr>
        <w:t>Q</w:t>
      </w:r>
      <w:r w:rsidR="00457589">
        <w:rPr>
          <w:rFonts w:cs="Times New Roman"/>
        </w:rPr>
        <w:t>1,634.5</w:t>
      </w:r>
      <w:r w:rsidR="00647DB5">
        <w:rPr>
          <w:rFonts w:cs="Times New Roman"/>
        </w:rPr>
        <w:t xml:space="preserve"> millones </w:t>
      </w:r>
      <w:r w:rsidR="004843FA">
        <w:rPr>
          <w:rFonts w:cs="Times New Roman"/>
        </w:rPr>
        <w:t>y un resultado primario</w:t>
      </w:r>
      <w:r w:rsidR="00B3292C">
        <w:rPr>
          <w:rFonts w:cs="Times New Roman"/>
        </w:rPr>
        <w:t xml:space="preserve"> (sin considerar el pago de intereses)</w:t>
      </w:r>
      <w:r w:rsidR="004843FA">
        <w:rPr>
          <w:rFonts w:cs="Times New Roman"/>
        </w:rPr>
        <w:t xml:space="preserve"> </w:t>
      </w:r>
      <w:r w:rsidR="00893A89">
        <w:rPr>
          <w:rFonts w:cs="Times New Roman"/>
        </w:rPr>
        <w:t xml:space="preserve">positivo </w:t>
      </w:r>
      <w:r w:rsidR="004843FA" w:rsidRPr="00DF5EAB">
        <w:rPr>
          <w:rFonts w:cs="Times New Roman"/>
        </w:rPr>
        <w:t>por Q4,</w:t>
      </w:r>
      <w:r w:rsidR="00DF5EAB">
        <w:rPr>
          <w:rFonts w:cs="Times New Roman"/>
        </w:rPr>
        <w:t>126.4</w:t>
      </w:r>
      <w:r w:rsidR="004843FA" w:rsidRPr="00DF5EAB">
        <w:rPr>
          <w:rFonts w:cs="Times New Roman"/>
        </w:rPr>
        <w:t xml:space="preserve"> millones</w:t>
      </w:r>
      <w:r w:rsidR="00EA2BD7" w:rsidRPr="00DF5EAB">
        <w:rPr>
          <w:rFonts w:cs="Times New Roman"/>
        </w:rPr>
        <w:t>.</w:t>
      </w:r>
      <w:r w:rsidR="00EA2BD7" w:rsidRPr="00954142">
        <w:rPr>
          <w:rFonts w:cs="Times New Roman"/>
        </w:rPr>
        <w:t xml:space="preserve"> </w:t>
      </w:r>
    </w:p>
    <w:p w14:paraId="530E6255" w14:textId="7D52C4A9" w:rsidR="00B3292C" w:rsidRPr="00150E5F" w:rsidRDefault="00B3292C" w:rsidP="00EA2BD7">
      <w:pPr>
        <w:rPr>
          <w:rFonts w:ascii="Symbol" w:hAnsi="Symbol" w:cs="Times New Roman" w:hint="eastAsia"/>
        </w:rPr>
      </w:pPr>
      <w:r w:rsidRPr="00960CD4">
        <w:rPr>
          <w:rFonts w:cs="Times New Roman"/>
        </w:rPr>
        <w:t xml:space="preserve">El resultado desglosado por subsectores muestra </w:t>
      </w:r>
      <w:r w:rsidR="0022185E" w:rsidRPr="00960CD4">
        <w:rPr>
          <w:rFonts w:cs="Times New Roman"/>
        </w:rPr>
        <w:t>a</w:t>
      </w:r>
      <w:r w:rsidR="00F01768" w:rsidRPr="00960CD4">
        <w:rPr>
          <w:rFonts w:cs="Times New Roman"/>
        </w:rPr>
        <w:t>l gobierno central presupuestario con un endeudamiento (déficit) de Q</w:t>
      </w:r>
      <w:r w:rsidR="00736754">
        <w:rPr>
          <w:rFonts w:cs="Times New Roman"/>
        </w:rPr>
        <w:t>5,071.9</w:t>
      </w:r>
      <w:r w:rsidR="00F01768" w:rsidRPr="00960CD4">
        <w:rPr>
          <w:rFonts w:cs="Times New Roman"/>
        </w:rPr>
        <w:t xml:space="preserve"> millones, </w:t>
      </w:r>
      <w:r w:rsidR="0062484F" w:rsidRPr="00960CD4">
        <w:rPr>
          <w:rFonts w:cs="Times New Roman"/>
        </w:rPr>
        <w:t xml:space="preserve">el gobierno central extrapresupuestarios </w:t>
      </w:r>
      <w:r w:rsidR="00736754">
        <w:rPr>
          <w:rFonts w:cs="Times New Roman"/>
        </w:rPr>
        <w:t xml:space="preserve">registró </w:t>
      </w:r>
      <w:r w:rsidR="00790907" w:rsidRPr="00960CD4">
        <w:rPr>
          <w:rFonts w:cs="Times New Roman"/>
        </w:rPr>
        <w:t>un préstamo neto</w:t>
      </w:r>
      <w:r w:rsidR="00715F66">
        <w:rPr>
          <w:rFonts w:cs="Times New Roman"/>
        </w:rPr>
        <w:t xml:space="preserve"> (superávit)</w:t>
      </w:r>
      <w:r w:rsidR="00790907" w:rsidRPr="00960CD4">
        <w:rPr>
          <w:rFonts w:cs="Times New Roman"/>
        </w:rPr>
        <w:t xml:space="preserve"> de</w:t>
      </w:r>
      <w:r w:rsidR="0062484F" w:rsidRPr="00960CD4">
        <w:rPr>
          <w:rFonts w:cs="Times New Roman"/>
        </w:rPr>
        <w:t xml:space="preserve"> Q</w:t>
      </w:r>
      <w:r w:rsidR="00736754">
        <w:rPr>
          <w:rFonts w:cs="Times New Roman"/>
        </w:rPr>
        <w:t>1,355.6</w:t>
      </w:r>
      <w:r w:rsidR="0062484F" w:rsidRPr="00960CD4">
        <w:rPr>
          <w:rFonts w:cs="Times New Roman"/>
        </w:rPr>
        <w:t xml:space="preserve"> millones, los fondos de seguridad social muestra</w:t>
      </w:r>
      <w:r w:rsidR="00A56971" w:rsidRPr="00960CD4">
        <w:rPr>
          <w:rFonts w:cs="Times New Roman"/>
        </w:rPr>
        <w:t>n</w:t>
      </w:r>
      <w:r w:rsidR="0062484F" w:rsidRPr="00960CD4">
        <w:rPr>
          <w:rFonts w:cs="Times New Roman"/>
        </w:rPr>
        <w:t xml:space="preserve"> un préstamo neto </w:t>
      </w:r>
      <w:r w:rsidR="00A225EF" w:rsidRPr="00960CD4">
        <w:rPr>
          <w:rFonts w:cs="Times New Roman"/>
        </w:rPr>
        <w:t>de Q</w:t>
      </w:r>
      <w:r w:rsidR="00736754">
        <w:rPr>
          <w:rFonts w:cs="Times New Roman"/>
        </w:rPr>
        <w:t>1,610.1</w:t>
      </w:r>
      <w:r w:rsidR="00150E5F" w:rsidRPr="00960CD4">
        <w:rPr>
          <w:rFonts w:cs="Times New Roman"/>
        </w:rPr>
        <w:t xml:space="preserve"> millones</w:t>
      </w:r>
      <w:r w:rsidR="00736754">
        <w:rPr>
          <w:rFonts w:cs="Times New Roman"/>
        </w:rPr>
        <w:t xml:space="preserve">, al igual que </w:t>
      </w:r>
      <w:r w:rsidR="00150E5F" w:rsidRPr="00960CD4">
        <w:rPr>
          <w:rFonts w:cs="Times New Roman"/>
        </w:rPr>
        <w:t xml:space="preserve">los gobiernos locales </w:t>
      </w:r>
      <w:r w:rsidR="00736754">
        <w:rPr>
          <w:rFonts w:cs="Times New Roman"/>
        </w:rPr>
        <w:t>que registraron préstamo neto por</w:t>
      </w:r>
      <w:r w:rsidR="00150E5F" w:rsidRPr="00960CD4">
        <w:rPr>
          <w:rFonts w:cs="Times New Roman"/>
        </w:rPr>
        <w:t xml:space="preserve"> </w:t>
      </w:r>
      <w:r w:rsidR="00893A89" w:rsidRPr="00960CD4">
        <w:rPr>
          <w:rFonts w:cs="Times New Roman"/>
        </w:rPr>
        <w:t>Q4</w:t>
      </w:r>
      <w:r w:rsidR="00B1474E" w:rsidRPr="00960CD4">
        <w:rPr>
          <w:rFonts w:cs="Times New Roman"/>
        </w:rPr>
        <w:t>7</w:t>
      </w:r>
      <w:r w:rsidR="00736754">
        <w:rPr>
          <w:rFonts w:cs="Times New Roman"/>
        </w:rPr>
        <w:t>1</w:t>
      </w:r>
      <w:r w:rsidR="00893A89" w:rsidRPr="00960CD4">
        <w:rPr>
          <w:rFonts w:cs="Times New Roman"/>
        </w:rPr>
        <w:t>.</w:t>
      </w:r>
      <w:r w:rsidR="00736754">
        <w:rPr>
          <w:rFonts w:cs="Times New Roman"/>
        </w:rPr>
        <w:t>7</w:t>
      </w:r>
      <w:r w:rsidR="00893A89" w:rsidRPr="00960CD4">
        <w:rPr>
          <w:rFonts w:cs="Times New Roman"/>
        </w:rPr>
        <w:t xml:space="preserve"> millones</w:t>
      </w:r>
      <w:r w:rsidR="00D911FF" w:rsidRPr="00960CD4">
        <w:rPr>
          <w:rFonts w:cs="Times New Roman"/>
        </w:rPr>
        <w:t>.</w:t>
      </w:r>
    </w:p>
    <w:p w14:paraId="653162DB" w14:textId="7590BDEA" w:rsidR="004911A4" w:rsidRPr="00954142" w:rsidRDefault="00F01768" w:rsidP="00EA2BD7">
      <w:pPr>
        <w:rPr>
          <w:rFonts w:cs="Times New Roman"/>
          <w:b/>
          <w:sz w:val="22"/>
          <w:szCs w:val="22"/>
          <w:lang w:val="es-MX"/>
        </w:rPr>
      </w:pPr>
      <w:r w:rsidRPr="00954142">
        <w:rPr>
          <w:rFonts w:eastAsiaTheme="majorEastAsia"/>
          <w:noProof/>
          <w:lang w:eastAsia="es-GT"/>
        </w:rPr>
        <w:drawing>
          <wp:inline distT="0" distB="0" distL="0" distR="0" wp14:anchorId="622FD480" wp14:editId="3553C0CA">
            <wp:extent cx="5899785" cy="2057400"/>
            <wp:effectExtent l="57150" t="0" r="100965" b="38100"/>
            <wp:docPr id="1805976380" name="Diagrama 180597638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  <w:r w:rsidR="004911A4" w:rsidRPr="00954142">
        <w:rPr>
          <w:rFonts w:cs="Times New Roman"/>
          <w:b/>
          <w:sz w:val="22"/>
          <w:szCs w:val="22"/>
          <w:lang w:val="es-MX"/>
        </w:rPr>
        <w:br w:type="page"/>
      </w:r>
    </w:p>
    <w:p w14:paraId="020DDCB3" w14:textId="022D16C6" w:rsidR="00264A75" w:rsidRPr="00954142" w:rsidRDefault="00264A75" w:rsidP="00522D73">
      <w:pPr>
        <w:pStyle w:val="Sinespaciado"/>
        <w:spacing w:before="0"/>
        <w:jc w:val="center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954142">
        <w:rPr>
          <w:rFonts w:ascii="Times New Roman" w:hAnsi="Times New Roman" w:cs="Times New Roman"/>
          <w:b/>
          <w:bCs/>
          <w:sz w:val="22"/>
          <w:szCs w:val="22"/>
          <w:lang w:val="es-MX"/>
        </w:rPr>
        <w:lastRenderedPageBreak/>
        <w:t xml:space="preserve">Estado de </w:t>
      </w:r>
      <w:r w:rsidR="00697544" w:rsidRPr="00954142">
        <w:rPr>
          <w:rFonts w:ascii="Times New Roman" w:hAnsi="Times New Roman" w:cs="Times New Roman"/>
          <w:b/>
          <w:bCs/>
          <w:sz w:val="22"/>
          <w:szCs w:val="22"/>
          <w:lang w:val="es-MX"/>
        </w:rPr>
        <w:t>O</w:t>
      </w:r>
      <w:r w:rsidRPr="00954142">
        <w:rPr>
          <w:rFonts w:ascii="Times New Roman" w:hAnsi="Times New Roman" w:cs="Times New Roman"/>
          <w:b/>
          <w:bCs/>
          <w:sz w:val="22"/>
          <w:szCs w:val="22"/>
          <w:lang w:val="es-MX"/>
        </w:rPr>
        <w:t>peraciones</w:t>
      </w:r>
      <w:r w:rsidR="007105EE" w:rsidRPr="00954142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Pr="00954142">
        <w:rPr>
          <w:rFonts w:ascii="Times New Roman" w:hAnsi="Times New Roman" w:cs="Times New Roman"/>
          <w:b/>
          <w:bCs/>
          <w:sz w:val="22"/>
          <w:szCs w:val="22"/>
          <w:lang w:val="es-MX"/>
        </w:rPr>
        <w:t>del Gobierno</w:t>
      </w:r>
      <w:r w:rsidR="00F22E50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General</w:t>
      </w:r>
    </w:p>
    <w:p w14:paraId="68D87BB8" w14:textId="53702512" w:rsidR="007105EE" w:rsidRPr="00954142" w:rsidRDefault="007105EE" w:rsidP="00522D73">
      <w:pPr>
        <w:pStyle w:val="Sinespaciado"/>
        <w:spacing w:before="0"/>
        <w:jc w:val="center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954142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Cifras acumuladas a </w:t>
      </w:r>
      <w:r w:rsidR="00B8488B">
        <w:rPr>
          <w:rFonts w:ascii="Times New Roman" w:hAnsi="Times New Roman" w:cs="Times New Roman"/>
          <w:b/>
          <w:bCs/>
          <w:sz w:val="22"/>
          <w:szCs w:val="22"/>
          <w:lang w:val="es-MX"/>
        </w:rPr>
        <w:t>junio</w:t>
      </w:r>
      <w:r w:rsidR="0040363B" w:rsidRPr="00954142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de cada año</w:t>
      </w:r>
      <w:r w:rsidRPr="00954142">
        <w:rPr>
          <w:rFonts w:ascii="Times New Roman" w:hAnsi="Times New Roman" w:cs="Times New Roman"/>
          <w:b/>
          <w:bCs/>
          <w:sz w:val="22"/>
          <w:szCs w:val="22"/>
          <w:lang w:val="es-MX"/>
        </w:rPr>
        <w:t>*</w:t>
      </w:r>
    </w:p>
    <w:p w14:paraId="3793E3FA" w14:textId="402859EF" w:rsidR="00A366A0" w:rsidRPr="00954142" w:rsidRDefault="00697544" w:rsidP="00522D73">
      <w:pPr>
        <w:pStyle w:val="Sinespaciado"/>
        <w:spacing w:before="0"/>
        <w:jc w:val="center"/>
        <w:rPr>
          <w:rFonts w:ascii="Times New Roman" w:hAnsi="Times New Roman" w:cs="Times New Roman"/>
          <w:sz w:val="22"/>
          <w:szCs w:val="22"/>
          <w:lang w:val="es-MX"/>
        </w:rPr>
      </w:pPr>
      <w:r w:rsidRPr="00954142">
        <w:rPr>
          <w:rFonts w:ascii="Times New Roman" w:hAnsi="Times New Roman" w:cs="Times New Roman"/>
          <w:sz w:val="22"/>
          <w:szCs w:val="22"/>
          <w:lang w:val="es-MX"/>
        </w:rPr>
        <w:t>En millones de Quetzales</w:t>
      </w:r>
      <w:r w:rsidR="00414C97" w:rsidRPr="00954142">
        <w:rPr>
          <w:rFonts w:ascii="Times New Roman" w:hAnsi="Times New Roman" w:cs="Times New Roman"/>
          <w:sz w:val="22"/>
          <w:szCs w:val="22"/>
          <w:lang w:val="es-MX"/>
        </w:rPr>
        <w:t xml:space="preserve"> y</w:t>
      </w:r>
      <w:r w:rsidR="0090006B" w:rsidRPr="00954142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414C97" w:rsidRPr="00954142">
        <w:rPr>
          <w:rFonts w:ascii="Times New Roman" w:hAnsi="Times New Roman" w:cs="Times New Roman"/>
          <w:sz w:val="22"/>
          <w:szCs w:val="22"/>
          <w:lang w:val="es-MX"/>
        </w:rPr>
        <w:t>Porcentajes</w:t>
      </w:r>
    </w:p>
    <w:p w14:paraId="05115692" w14:textId="77777777" w:rsidR="005F785D" w:rsidRPr="00954142" w:rsidRDefault="005F785D" w:rsidP="00522D73">
      <w:pPr>
        <w:pStyle w:val="Sinespaciado"/>
        <w:spacing w:before="0"/>
        <w:jc w:val="center"/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67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2"/>
        <w:gridCol w:w="862"/>
        <w:gridCol w:w="864"/>
        <w:gridCol w:w="862"/>
        <w:gridCol w:w="946"/>
      </w:tblGrid>
      <w:tr w:rsidR="008B3F1D" w:rsidRPr="00355337" w14:paraId="47758F5A" w14:textId="77777777" w:rsidTr="00E46F67">
        <w:trPr>
          <w:trHeight w:val="262"/>
          <w:jc w:val="center"/>
        </w:trPr>
        <w:tc>
          <w:tcPr>
            <w:tcW w:w="3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44546A"/>
            <w:noWrap/>
            <w:vAlign w:val="center"/>
            <w:hideMark/>
          </w:tcPr>
          <w:p w14:paraId="776388F3" w14:textId="77777777" w:rsidR="008B3F1D" w:rsidRPr="00355337" w:rsidRDefault="008B3F1D" w:rsidP="003553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  <w:t>Descripción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4089CE95" w14:textId="77777777" w:rsidR="008B3F1D" w:rsidRPr="00355337" w:rsidRDefault="008B3F1D" w:rsidP="003553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  <w:t>En millones de Q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4546A"/>
            <w:vAlign w:val="center"/>
            <w:hideMark/>
          </w:tcPr>
          <w:p w14:paraId="01C71129" w14:textId="77777777" w:rsidR="008B3F1D" w:rsidRPr="00355337" w:rsidRDefault="008B3F1D" w:rsidP="003553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  <w:t>Variación Interanual</w:t>
            </w:r>
          </w:p>
        </w:tc>
      </w:tr>
      <w:tr w:rsidR="008B3F1D" w:rsidRPr="00355337" w14:paraId="2102BB66" w14:textId="77777777" w:rsidTr="00E46F67">
        <w:trPr>
          <w:trHeight w:val="262"/>
          <w:jc w:val="center"/>
        </w:trPr>
        <w:tc>
          <w:tcPr>
            <w:tcW w:w="3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094A23" w14:textId="77777777" w:rsidR="008B3F1D" w:rsidRPr="00355337" w:rsidRDefault="008B3F1D" w:rsidP="00355337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14:paraId="736DDD67" w14:textId="34728BBB" w:rsidR="008B3F1D" w:rsidRPr="00355337" w:rsidRDefault="005D44B6" w:rsidP="003553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GT"/>
              </w:rPr>
              <w:t>2022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14:paraId="58D3BD90" w14:textId="795335A6" w:rsidR="008B3F1D" w:rsidRPr="00355337" w:rsidRDefault="008B3F1D" w:rsidP="003553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GT"/>
              </w:rPr>
              <w:t>202</w:t>
            </w:r>
            <w:r w:rsidR="005D44B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GT"/>
              </w:rPr>
              <w:t>3</w:t>
            </w:r>
            <w:r w:rsidRPr="0035533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es-GT"/>
              </w:rPr>
              <w:t>*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E1C34F9" w14:textId="77777777" w:rsidR="008B3F1D" w:rsidRPr="00355337" w:rsidRDefault="008B3F1D" w:rsidP="003553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  <w:t>Absoluta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B29115F" w14:textId="77777777" w:rsidR="008B3F1D" w:rsidRPr="00355337" w:rsidRDefault="008B3F1D" w:rsidP="003553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GT"/>
              </w:rPr>
              <w:t>Relativa</w:t>
            </w:r>
          </w:p>
        </w:tc>
      </w:tr>
      <w:tr w:rsidR="00D96F0D" w:rsidRPr="00355337" w14:paraId="0E4CA9CB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0CE1" w14:textId="77777777" w:rsidR="00D96F0D" w:rsidRPr="00355337" w:rsidRDefault="00D96F0D" w:rsidP="00D96F0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INGRESO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B888" w14:textId="353F88C8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57,842.6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F400" w14:textId="03D623CB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63,757.9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8AFD" w14:textId="1A3504A8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5,915.3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EC31" w14:textId="4A6094C7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</w:t>
            </w:r>
          </w:p>
        </w:tc>
      </w:tr>
      <w:tr w:rsidR="00D96F0D" w:rsidRPr="00355337" w14:paraId="169FA3F4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7A2F" w14:textId="77777777" w:rsidR="00D96F0D" w:rsidRPr="00355337" w:rsidRDefault="00D96F0D" w:rsidP="00D96F0D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Impuestos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2D36" w14:textId="6F690C0E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43,906.0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416E" w14:textId="251F91FB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47,991.9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DBCD" w14:textId="1B1400AD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4,085.9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FBD9" w14:textId="3C362F13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9.3</w:t>
            </w:r>
          </w:p>
        </w:tc>
      </w:tr>
      <w:tr w:rsidR="00D96F0D" w:rsidRPr="00355337" w14:paraId="29FD1C8F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7786" w14:textId="77777777" w:rsidR="00D96F0D" w:rsidRPr="00355337" w:rsidRDefault="00D96F0D" w:rsidP="00D96F0D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Contribuciones sociales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05C8" w14:textId="1925A2A0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9,461.3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82AD" w14:textId="50253B47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10,807.8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0974" w14:textId="5F89E310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1,346.5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827A" w14:textId="62AFB623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14.2</w:t>
            </w:r>
          </w:p>
        </w:tc>
      </w:tr>
      <w:tr w:rsidR="00D96F0D" w:rsidRPr="00355337" w14:paraId="2D2448CA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6BFE" w14:textId="77777777" w:rsidR="00D96F0D" w:rsidRPr="00355337" w:rsidRDefault="00D96F0D" w:rsidP="00D96F0D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Donaciones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EB81" w14:textId="20FA475A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75.5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93FF" w14:textId="7F18C54F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40.7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7934" w14:textId="33D3E41C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-34.8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7204" w14:textId="32294240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-46.0</w:t>
            </w:r>
          </w:p>
        </w:tc>
      </w:tr>
      <w:tr w:rsidR="00D96F0D" w:rsidRPr="00355337" w14:paraId="58C4623A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2BCC" w14:textId="77777777" w:rsidR="00D96F0D" w:rsidRPr="00355337" w:rsidRDefault="00D96F0D" w:rsidP="00D96F0D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Otros ingresos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16B6" w14:textId="5A1F856D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4,399.7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29A5" w14:textId="0FDDF51E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4,917.4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7D81" w14:textId="1C377830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517.7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7A2E" w14:textId="098661C0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11.8</w:t>
            </w:r>
          </w:p>
        </w:tc>
      </w:tr>
      <w:tr w:rsidR="00D96F0D" w:rsidRPr="00355337" w14:paraId="4789D559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1D6C" w14:textId="77777777" w:rsidR="00D96F0D" w:rsidRPr="00355337" w:rsidRDefault="00D96F0D" w:rsidP="00D96F0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GASTO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5D3F" w14:textId="31A5D073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48,184.0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2FC1" w14:textId="7ECB9447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56,795.3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B37E" w14:textId="3B782EFD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8,611.3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9AF9" w14:textId="40188C5E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</w:t>
            </w:r>
          </w:p>
        </w:tc>
      </w:tr>
      <w:tr w:rsidR="00D96F0D" w:rsidRPr="00355337" w14:paraId="16CDE168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9B84" w14:textId="77777777" w:rsidR="00D96F0D" w:rsidRPr="00355337" w:rsidRDefault="00D96F0D" w:rsidP="00D96F0D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Remuneración a los empleados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C4CF" w14:textId="57573A44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22,798.8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1955" w14:textId="1F0E1DDE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25,802.1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AD71" w14:textId="3EC79226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3,003.3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A08A" w14:textId="42475DDF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13.2</w:t>
            </w:r>
          </w:p>
        </w:tc>
      </w:tr>
      <w:tr w:rsidR="00D96F0D" w:rsidRPr="00355337" w14:paraId="35401EDE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1158" w14:textId="77777777" w:rsidR="00D96F0D" w:rsidRPr="00355337" w:rsidRDefault="00D96F0D" w:rsidP="00D96F0D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Uso de bienes y servicios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5081" w14:textId="7449C6EF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8,562.6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68A9" w14:textId="3AE1762B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12,889.8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08B6" w14:textId="0701CA12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4,327.3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2EEC" w14:textId="3FE323AE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50.5</w:t>
            </w:r>
          </w:p>
        </w:tc>
      </w:tr>
      <w:tr w:rsidR="00D96F0D" w:rsidRPr="00355337" w14:paraId="544F99C2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E88A" w14:textId="77777777" w:rsidR="00D96F0D" w:rsidRPr="00355337" w:rsidRDefault="00D96F0D" w:rsidP="00D96F0D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Intereses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E853" w14:textId="350D29BA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5,262.8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8B1A" w14:textId="766B9CAE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5,760.9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1AD8" w14:textId="15685BA8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498.0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A55D" w14:textId="553B8BAB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9.5</w:t>
            </w:r>
          </w:p>
        </w:tc>
      </w:tr>
      <w:tr w:rsidR="00D96F0D" w:rsidRPr="00355337" w14:paraId="583A874F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9BD8" w14:textId="77777777" w:rsidR="00D96F0D" w:rsidRPr="00355337" w:rsidRDefault="00D96F0D" w:rsidP="00D96F0D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Subsidios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6451" w14:textId="4324F6B0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1,680.8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4FC3" w14:textId="566F5FDE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592.8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F1F6" w14:textId="4F2D58F0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-1,088.0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499A" w14:textId="08591819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-64.7</w:t>
            </w:r>
          </w:p>
        </w:tc>
      </w:tr>
      <w:tr w:rsidR="00D96F0D" w:rsidRPr="00355337" w14:paraId="279612A7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C368" w14:textId="77777777" w:rsidR="00D96F0D" w:rsidRPr="00355337" w:rsidRDefault="00D96F0D" w:rsidP="00D96F0D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Donaciones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4139" w14:textId="1C43922D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355.6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1CBF" w14:textId="5A18AE70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263.6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9A95" w14:textId="24FAEB5E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-92.0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461C" w14:textId="109B15B9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-25.9</w:t>
            </w:r>
          </w:p>
        </w:tc>
      </w:tr>
      <w:tr w:rsidR="00D96F0D" w:rsidRPr="00355337" w14:paraId="560448AF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66FC" w14:textId="77777777" w:rsidR="00D96F0D" w:rsidRPr="00355337" w:rsidRDefault="00D96F0D" w:rsidP="00D96F0D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Prestaciones sociales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B4FA" w14:textId="2E95680E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5,856.0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B615" w14:textId="1E288439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6,794.1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269B" w14:textId="2FD51D9F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938.0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067C" w14:textId="6FE48EFF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16.0</w:t>
            </w:r>
          </w:p>
        </w:tc>
      </w:tr>
      <w:tr w:rsidR="00D96F0D" w:rsidRPr="00355337" w14:paraId="15102708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3FAE" w14:textId="77777777" w:rsidR="00D96F0D" w:rsidRPr="00355337" w:rsidRDefault="00D96F0D" w:rsidP="00D96F0D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Otros gastos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FBCF" w14:textId="1CDF0AD8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3,667.3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08F1" w14:textId="75F903B2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4,692.0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F01A" w14:textId="10419454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1,024.7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D450" w14:textId="4E3E97D7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27.9</w:t>
            </w:r>
          </w:p>
        </w:tc>
      </w:tr>
      <w:tr w:rsidR="00D96F0D" w:rsidRPr="00355337" w14:paraId="378BE9C3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2B75" w14:textId="77777777" w:rsidR="00D96F0D" w:rsidRPr="00355337" w:rsidRDefault="00D96F0D" w:rsidP="00D96F0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Resultado Operativo Primario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0145" w14:textId="7B11766D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14,921.4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7EC5" w14:textId="5AFDB6FB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12,723.4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2914" w14:textId="07B5554A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-2,197.9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B21D" w14:textId="556DFC7A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-14.7</w:t>
            </w:r>
          </w:p>
        </w:tc>
      </w:tr>
      <w:tr w:rsidR="00D96F0D" w:rsidRPr="00355337" w14:paraId="4ED03594" w14:textId="77777777" w:rsidTr="00E46F67">
        <w:trPr>
          <w:trHeight w:val="262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A4A7" w14:textId="77777777" w:rsidR="00D96F0D" w:rsidRPr="00355337" w:rsidRDefault="00D96F0D" w:rsidP="00D96F0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Resultado Operativo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40BB" w14:textId="611132D4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9,658.6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2A44" w14:textId="53C7E29F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6,962.6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2E92" w14:textId="626A9F8B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-2,696.0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75E6" w14:textId="18E9CC60" w:rsidR="00D96F0D" w:rsidRPr="00374E67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-27.9</w:t>
            </w:r>
          </w:p>
        </w:tc>
      </w:tr>
      <w:tr w:rsidR="008B3F1D" w:rsidRPr="00355337" w14:paraId="33CA70EA" w14:textId="77777777" w:rsidTr="00E46F67">
        <w:trPr>
          <w:trHeight w:val="262"/>
          <w:jc w:val="center"/>
        </w:trPr>
        <w:tc>
          <w:tcPr>
            <w:tcW w:w="6706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45B30" w14:textId="77777777" w:rsidR="008B3F1D" w:rsidRPr="00355337" w:rsidRDefault="008B3F1D" w:rsidP="00355337">
            <w:pPr>
              <w:spacing w:before="0" w:after="0"/>
              <w:rPr>
                <w:rFonts w:eastAsia="Times New Roman" w:cs="Times New Roman"/>
                <w:color w:val="4472C4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color w:val="4472C4"/>
                <w:sz w:val="18"/>
                <w:szCs w:val="18"/>
                <w:lang w:eastAsia="es-GT"/>
              </w:rPr>
              <w:t>TRANSACCIONES EN ACTIVOS NO FINANCIEROS</w:t>
            </w:r>
          </w:p>
        </w:tc>
      </w:tr>
      <w:tr w:rsidR="00D96F0D" w:rsidRPr="00355337" w14:paraId="7D4A6F52" w14:textId="77777777" w:rsidTr="00E46F67">
        <w:trPr>
          <w:trHeight w:val="262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95C0" w14:textId="77777777" w:rsidR="00D96F0D" w:rsidRPr="00355337" w:rsidRDefault="00D96F0D" w:rsidP="00D96F0D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Inversión bruta en activos no financieros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D14C" w14:textId="7BC26E62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6,237.9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35D7" w14:textId="570D4466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8,597.1</w:t>
            </w:r>
          </w:p>
        </w:tc>
        <w:tc>
          <w:tcPr>
            <w:tcW w:w="862" w:type="dxa"/>
            <w:tcBorders>
              <w:top w:val="double" w:sz="6" w:space="0" w:color="auto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3BCA" w14:textId="04D5010E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2,359.2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A78D" w14:textId="6B4167F3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37.8</w:t>
            </w:r>
          </w:p>
        </w:tc>
      </w:tr>
      <w:tr w:rsidR="00D96F0D" w:rsidRPr="00355337" w14:paraId="3ECD4FEF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94D3" w14:textId="77777777" w:rsidR="00D96F0D" w:rsidRPr="00355337" w:rsidRDefault="00D96F0D" w:rsidP="00D96F0D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Erogación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3C31" w14:textId="2A841DD0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54,421.9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FFF7" w14:textId="0C2AAE93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65,392.4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6A3E" w14:textId="00CB14A1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10,970.5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9940" w14:textId="682F4F7F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20.2</w:t>
            </w:r>
          </w:p>
        </w:tc>
      </w:tr>
      <w:tr w:rsidR="00D96F0D" w:rsidRPr="00355337" w14:paraId="66E19F45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520C" w14:textId="77777777" w:rsidR="00D96F0D" w:rsidRPr="00355337" w:rsidRDefault="00D96F0D" w:rsidP="00D96F0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Resultado Primario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887B" w14:textId="5FBA18F4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8,683.5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7C4C" w14:textId="4904FEF0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4,126.4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507E" w14:textId="427D7674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-4,557.2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C64C" w14:textId="5058E650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-52.5</w:t>
            </w:r>
          </w:p>
        </w:tc>
      </w:tr>
      <w:tr w:rsidR="00D96F0D" w:rsidRPr="00355337" w14:paraId="0EC27771" w14:textId="77777777" w:rsidTr="00E46F67">
        <w:trPr>
          <w:trHeight w:val="262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F9BF" w14:textId="77777777" w:rsidR="00D96F0D" w:rsidRPr="00355337" w:rsidRDefault="00D96F0D" w:rsidP="00D96F0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Préstamo (+) / endeudamiento (-)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12DD" w14:textId="74BEE1A6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3,420.7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9981" w14:textId="088C3F1A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-1,634.5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AEF2" w14:textId="2A4DA88D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-5,055.2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65E2" w14:textId="64B5F97A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-147.8</w:t>
            </w:r>
          </w:p>
        </w:tc>
      </w:tr>
      <w:tr w:rsidR="008B3F1D" w:rsidRPr="00355337" w14:paraId="78E00F0F" w14:textId="77777777" w:rsidTr="00E46F67">
        <w:trPr>
          <w:trHeight w:val="262"/>
          <w:jc w:val="center"/>
        </w:trPr>
        <w:tc>
          <w:tcPr>
            <w:tcW w:w="6706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ED90" w14:textId="77777777" w:rsidR="008B3F1D" w:rsidRPr="00355337" w:rsidRDefault="008B3F1D" w:rsidP="00355337">
            <w:pPr>
              <w:spacing w:before="0" w:after="0"/>
              <w:rPr>
                <w:rFonts w:eastAsia="Times New Roman" w:cs="Times New Roman"/>
                <w:color w:val="4472C4"/>
                <w:sz w:val="18"/>
                <w:szCs w:val="18"/>
                <w:lang w:eastAsia="es-GT"/>
              </w:rPr>
            </w:pPr>
            <w:r w:rsidRPr="00355337">
              <w:rPr>
                <w:rFonts w:eastAsia="Times New Roman" w:cs="Times New Roman"/>
                <w:color w:val="4472C4"/>
                <w:sz w:val="18"/>
                <w:szCs w:val="18"/>
                <w:lang w:eastAsia="es-GT"/>
              </w:rPr>
              <w:t>TRANSACCIONES EN ACTIVOS Y PASIVOS FINANCIEROS (FINANCIMIENTO)</w:t>
            </w:r>
          </w:p>
        </w:tc>
      </w:tr>
      <w:tr w:rsidR="00D96F0D" w:rsidRPr="00355337" w14:paraId="1478A3CC" w14:textId="77777777" w:rsidTr="00E46F67">
        <w:trPr>
          <w:trHeight w:val="262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B220" w14:textId="77777777" w:rsidR="00D96F0D" w:rsidRPr="00355337" w:rsidRDefault="00D96F0D" w:rsidP="00D96F0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Adquisición neta de activos financieros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633F" w14:textId="33F1606B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1,436.0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37C2" w14:textId="5851EBE9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3,661.6</w:t>
            </w:r>
          </w:p>
        </w:tc>
        <w:tc>
          <w:tcPr>
            <w:tcW w:w="862" w:type="dxa"/>
            <w:tcBorders>
              <w:top w:val="double" w:sz="6" w:space="0" w:color="auto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FF72" w14:textId="3E55F032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2,225.6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7674" w14:textId="6B2D1465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155.0</w:t>
            </w:r>
          </w:p>
        </w:tc>
      </w:tr>
      <w:tr w:rsidR="00D96F0D" w:rsidRPr="00355337" w14:paraId="476A2F8A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7E9B" w14:textId="77777777" w:rsidR="00D96F0D" w:rsidRPr="00355337" w:rsidRDefault="00D96F0D" w:rsidP="00D96F0D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Billetes monedas y depósitos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F4AD" w14:textId="77B3F4DE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400.7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47C6" w14:textId="3D491BF2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1,360.5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2FE1" w14:textId="0034B5DA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959.8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8003" w14:textId="5650A75F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239.5</w:t>
            </w:r>
          </w:p>
        </w:tc>
      </w:tr>
      <w:tr w:rsidR="00D96F0D" w:rsidRPr="00355337" w14:paraId="2AAF2D49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AB75" w14:textId="77777777" w:rsidR="00D96F0D" w:rsidRPr="00355337" w:rsidRDefault="00D96F0D" w:rsidP="00D96F0D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Préstamos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77AD" w14:textId="626891AC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-36.3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0F54" w14:textId="5C136349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-139.4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B727" w14:textId="758E9B1F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-103.1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F808" w14:textId="4904CFA2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284.0</w:t>
            </w:r>
          </w:p>
        </w:tc>
      </w:tr>
      <w:tr w:rsidR="00D96F0D" w:rsidRPr="00355337" w14:paraId="0BD9E735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1174" w14:textId="77777777" w:rsidR="00D96F0D" w:rsidRPr="00355337" w:rsidRDefault="00D96F0D" w:rsidP="00D96F0D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Otros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5100" w14:textId="4D36FC63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1,071.6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603D" w14:textId="4B806A1D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2,440.5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EBEF" w14:textId="28B0A600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1,368.9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1F9D" w14:textId="097A2C64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127.7</w:t>
            </w:r>
          </w:p>
        </w:tc>
      </w:tr>
      <w:tr w:rsidR="00D96F0D" w:rsidRPr="00355337" w14:paraId="2A47555C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817E" w14:textId="77777777" w:rsidR="00D96F0D" w:rsidRPr="00355337" w:rsidRDefault="00D96F0D" w:rsidP="00D96F0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Incurrimiento neto de pasivos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A32E" w14:textId="08A5439D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-1,179.8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DE78" w14:textId="21B95948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4,747.4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9BBA" w14:textId="288B561C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5,927.2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0B42" w14:textId="540DFC3B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-502.4</w:t>
            </w:r>
          </w:p>
        </w:tc>
      </w:tr>
      <w:tr w:rsidR="00D96F0D" w:rsidRPr="00355337" w14:paraId="0EC3D796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6372" w14:textId="77777777" w:rsidR="00D96F0D" w:rsidRPr="00355337" w:rsidRDefault="00D96F0D" w:rsidP="00D96F0D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Títulos de deuda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C8A8" w14:textId="7F3D03FF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-556.3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B05E" w14:textId="452C4B63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6,172.6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F01A" w14:textId="09D87550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6,728.9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C2C7" w14:textId="6FD68097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-1,209.7</w:t>
            </w:r>
          </w:p>
        </w:tc>
      </w:tr>
      <w:tr w:rsidR="00D96F0D" w:rsidRPr="00355337" w14:paraId="739A1584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4F1E" w14:textId="77777777" w:rsidR="00D96F0D" w:rsidRPr="00355337" w:rsidRDefault="00D96F0D" w:rsidP="00D96F0D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Préstamos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D929" w14:textId="69811445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-1,169.0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DAA1" w14:textId="75BE2D13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-1,083.6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1913" w14:textId="34EC7A7E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85.4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A56D" w14:textId="53E64052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-7.3</w:t>
            </w:r>
          </w:p>
        </w:tc>
      </w:tr>
      <w:tr w:rsidR="00D96F0D" w:rsidRPr="00355337" w14:paraId="57168649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63C2" w14:textId="77777777" w:rsidR="00D96F0D" w:rsidRPr="00355337" w:rsidRDefault="00D96F0D" w:rsidP="00D96F0D">
            <w:pPr>
              <w:spacing w:before="0" w:after="0"/>
              <w:ind w:firstLineChars="100" w:firstLine="16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>Otros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FE98" w14:textId="4C3EA0A0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545.4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BD19" w14:textId="679AA320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-341.6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448B" w14:textId="3213ACE2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-887.0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67E1" w14:textId="12579D8A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color w:val="000000"/>
                <w:sz w:val="16"/>
                <w:szCs w:val="16"/>
              </w:rPr>
              <w:t>-162.6</w:t>
            </w:r>
          </w:p>
        </w:tc>
      </w:tr>
      <w:tr w:rsidR="00D96F0D" w:rsidRPr="00355337" w14:paraId="2C2BE4A1" w14:textId="77777777" w:rsidTr="00E46F67">
        <w:trPr>
          <w:trHeight w:val="250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7238" w14:textId="77777777" w:rsidR="00D96F0D" w:rsidRPr="00355337" w:rsidRDefault="00D96F0D" w:rsidP="00D96F0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5533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Discrepancia estadística global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7DB2" w14:textId="271249AB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-804.9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0E13" w14:textId="4FBB938F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548.7</w:t>
            </w:r>
          </w:p>
        </w:tc>
        <w:tc>
          <w:tcPr>
            <w:tcW w:w="862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C4D8" w14:textId="51EA768D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1,353.6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796D" w14:textId="7792F8D3" w:rsidR="00D96F0D" w:rsidRPr="00236091" w:rsidRDefault="00D96F0D" w:rsidP="00D96F0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-168.2</w:t>
            </w:r>
          </w:p>
        </w:tc>
      </w:tr>
    </w:tbl>
    <w:p w14:paraId="3350F89B" w14:textId="7F5F675D" w:rsidR="003C303F" w:rsidRPr="00954142" w:rsidRDefault="003C303F" w:rsidP="000405FF">
      <w:pPr>
        <w:pStyle w:val="Sinespaciado"/>
        <w:spacing w:before="0"/>
        <w:ind w:left="1276"/>
        <w:rPr>
          <w:rFonts w:ascii="Times New Roman" w:hAnsi="Times New Roman" w:cs="Times New Roman"/>
          <w:sz w:val="16"/>
          <w:szCs w:val="16"/>
          <w:lang w:val="es-MX"/>
        </w:rPr>
      </w:pPr>
      <w:r w:rsidRPr="00954142">
        <w:rPr>
          <w:rFonts w:ascii="Times New Roman" w:hAnsi="Times New Roman" w:cs="Times New Roman"/>
          <w:sz w:val="16"/>
          <w:szCs w:val="16"/>
          <w:lang w:val="es-MX"/>
        </w:rPr>
        <w:t>*Cifras preliminares</w:t>
      </w:r>
    </w:p>
    <w:p w14:paraId="445E1632" w14:textId="77777777" w:rsidR="003C303F" w:rsidRPr="00FB4253" w:rsidRDefault="003C303F" w:rsidP="000405FF">
      <w:pPr>
        <w:pStyle w:val="Sinespaciado"/>
        <w:spacing w:before="0"/>
        <w:ind w:left="1276"/>
        <w:rPr>
          <w:rFonts w:ascii="Times New Roman" w:hAnsi="Times New Roman" w:cs="Times New Roman"/>
          <w:sz w:val="16"/>
          <w:szCs w:val="16"/>
          <w:lang w:val="es-MX"/>
        </w:rPr>
      </w:pPr>
      <w:r w:rsidRPr="00954142">
        <w:rPr>
          <w:rFonts w:ascii="Times New Roman" w:hAnsi="Times New Roman" w:cs="Times New Roman"/>
          <w:sz w:val="16"/>
          <w:szCs w:val="16"/>
          <w:lang w:val="es-MX"/>
        </w:rPr>
        <w:t>Fuente: MINFIN</w:t>
      </w:r>
    </w:p>
    <w:p w14:paraId="6886455E" w14:textId="77777777" w:rsidR="006939D7" w:rsidRPr="004579E2" w:rsidRDefault="006939D7" w:rsidP="007105EE">
      <w:pPr>
        <w:ind w:left="1134"/>
        <w:rPr>
          <w:rFonts w:cs="Times New Roman"/>
          <w:sz w:val="22"/>
          <w:szCs w:val="22"/>
          <w:lang w:val="es-MX"/>
        </w:rPr>
      </w:pPr>
    </w:p>
    <w:sectPr w:rsidR="006939D7" w:rsidRPr="004579E2" w:rsidSect="0032077E">
      <w:headerReference w:type="default" r:id="rId49"/>
      <w:footerReference w:type="default" r:id="rId50"/>
      <w:headerReference w:type="first" r:id="rId51"/>
      <w:footerReference w:type="first" r:id="rId52"/>
      <w:type w:val="continuous"/>
      <w:pgSz w:w="12240" w:h="15840" w:code="1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B648" w14:textId="77777777" w:rsidR="004E2A19" w:rsidRDefault="004E2A19" w:rsidP="000B5E1C">
      <w:r>
        <w:separator/>
      </w:r>
    </w:p>
  </w:endnote>
  <w:endnote w:type="continuationSeparator" w:id="0">
    <w:p w14:paraId="168CF696" w14:textId="77777777" w:rsidR="004E2A19" w:rsidRDefault="004E2A19" w:rsidP="000B5E1C">
      <w:r>
        <w:continuationSeparator/>
      </w:r>
    </w:p>
  </w:endnote>
  <w:endnote w:type="continuationNotice" w:id="1">
    <w:p w14:paraId="7F76E053" w14:textId="77777777" w:rsidR="004E2A19" w:rsidRDefault="004E2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FEF9" w14:textId="285C8ACD" w:rsidR="000A5B5B" w:rsidRPr="00D90485" w:rsidRDefault="00D90485">
    <w:pPr>
      <w:pStyle w:val="Piedepgina"/>
      <w:jc w:val="right"/>
      <w:rPr>
        <w:rFonts w:cs="Times New Roman"/>
        <w:i/>
        <w:color w:val="FFFFFF" w:themeColor="background1"/>
      </w:rPr>
    </w:pPr>
    <w:r w:rsidRPr="00541048">
      <w:rPr>
        <w:rFonts w:cs="Times New Roman"/>
        <w:i/>
        <w:noProof/>
        <w:color w:val="FFFFFF" w:themeColor="background1"/>
        <w:lang w:eastAsia="es-G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1885B3" wp14:editId="22954ED7">
              <wp:simplePos x="0" y="0"/>
              <wp:positionH relativeFrom="margin">
                <wp:posOffset>-1575</wp:posOffset>
              </wp:positionH>
              <wp:positionV relativeFrom="paragraph">
                <wp:posOffset>47549</wp:posOffset>
              </wp:positionV>
              <wp:extent cx="6001647" cy="425806"/>
              <wp:effectExtent l="57150" t="19050" r="75565" b="88900"/>
              <wp:wrapNone/>
              <wp:docPr id="853589062" name="Rectángulo: esquinas superiores cortadas 8535890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6001647" cy="425806"/>
                      </a:xfrm>
                      <a:prstGeom prst="snip2SameRect">
                        <a:avLst>
                          <a:gd name="adj1" fmla="val 0"/>
                          <a:gd name="adj2" fmla="val 22812"/>
                        </a:avLst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29C069" w14:textId="14445500" w:rsidR="00D90485" w:rsidRPr="00D90485" w:rsidRDefault="00D90485" w:rsidP="00D90485">
                          <w:pPr>
                            <w:pStyle w:val="Piedepgina"/>
                            <w:tabs>
                              <w:tab w:val="clear" w:pos="8838"/>
                              <w:tab w:val="left" w:pos="5173"/>
                            </w:tabs>
                            <w:rPr>
                              <w:rFonts w:cs="Times New Roman"/>
                              <w:i/>
                              <w:color w:val="FFFFFF" w:themeColor="background1"/>
                            </w:rPr>
                          </w:pPr>
                          <w:r w:rsidRPr="00D90485">
                            <w:rPr>
                              <w:rFonts w:cs="Times New Roman"/>
                              <w:i/>
                              <w:color w:val="FFFFFF" w:themeColor="background1"/>
                            </w:rPr>
                            <w:t xml:space="preserve">Informe de las Finanzas Públicas – </w:t>
                          </w:r>
                          <w:r w:rsidR="00B273DB">
                            <w:rPr>
                              <w:rFonts w:cs="Times New Roman"/>
                              <w:i/>
                              <w:color w:val="FFFFFF" w:themeColor="background1"/>
                            </w:rPr>
                            <w:t>Segundo</w:t>
                          </w:r>
                          <w:r w:rsidR="007916AA">
                            <w:rPr>
                              <w:rFonts w:cs="Times New Roman"/>
                              <w:i/>
                              <w:color w:val="FFFFFF" w:themeColor="background1"/>
                            </w:rPr>
                            <w:t xml:space="preserve"> Trimestre 2023</w:t>
                          </w:r>
                        </w:p>
                        <w:p w14:paraId="744DC8C2" w14:textId="0E8082E2" w:rsidR="004329D0" w:rsidRDefault="004329D0" w:rsidP="004329D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1885B3" id="Rectángulo: esquinas superiores cortadas 853589062" o:spid="_x0000_s1029" style="position:absolute;left:0;text-align:left;margin-left:-.1pt;margin-top:3.75pt;width:472.55pt;height:33.55pt;rotation:180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01647,4258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" adj="-11796480,,5400" path="m,l6001647,r,l6001647,328671r-97135,97135l97135,425806,,328671,,xe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troke joinstyle="miter"/>
              <v:shadow on="t" color="black" opacity="22937f" origin=",.5" offset="0,.63889mm"/>
              <v:formulas/>
              <v:path arrowok="t" o:connecttype="custom" o:connectlocs="0,0;6001647,0;6001647,0;6001647,328671;5904512,425806;97135,425806;0,328671;0,0" o:connectangles="0,0,0,0,0,0,0,0" textboxrect="0,0,6001647,425806"/>
              <v:textbox>
                <w:txbxContent>
                  <w:p w14:paraId="7329C069" w14:textId="14445500" w:rsidR="00D90485" w:rsidRPr="00D90485" w:rsidRDefault="00D90485" w:rsidP="00D90485">
                    <w:pPr>
                      <w:pStyle w:val="Piedepgina"/>
                      <w:tabs>
                        <w:tab w:val="clear" w:pos="8838"/>
                        <w:tab w:val="left" w:pos="5173"/>
                      </w:tabs>
                      <w:rPr>
                        <w:rFonts w:cs="Times New Roman"/>
                        <w:i/>
                        <w:color w:val="FFFFFF" w:themeColor="background1"/>
                      </w:rPr>
                    </w:pPr>
                    <w:r w:rsidRPr="00D90485">
                      <w:rPr>
                        <w:rFonts w:cs="Times New Roman"/>
                        <w:i/>
                        <w:color w:val="FFFFFF" w:themeColor="background1"/>
                      </w:rPr>
                      <w:t xml:space="preserve">Informe de las Finanzas Públicas – </w:t>
                    </w:r>
                    <w:r w:rsidR="00B273DB">
                      <w:rPr>
                        <w:rFonts w:cs="Times New Roman"/>
                        <w:i/>
                        <w:color w:val="FFFFFF" w:themeColor="background1"/>
                      </w:rPr>
                      <w:t>Segundo</w:t>
                    </w:r>
                    <w:r w:rsidR="007916AA">
                      <w:rPr>
                        <w:rFonts w:cs="Times New Roman"/>
                        <w:i/>
                        <w:color w:val="FFFFFF" w:themeColor="background1"/>
                      </w:rPr>
                      <w:t xml:space="preserve"> Trimestre 2023</w:t>
                    </w:r>
                  </w:p>
                  <w:p w14:paraId="744DC8C2" w14:textId="0E8082E2" w:rsidR="004329D0" w:rsidRDefault="004329D0" w:rsidP="004329D0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cs="Times New Roman"/>
          <w:i/>
          <w:color w:val="FFFFFF" w:themeColor="background1"/>
          <w:lang w:val="es-ES"/>
        </w:rPr>
        <w:id w:val="1089358670"/>
        <w:docPartObj>
          <w:docPartGallery w:val="Page Numbers (Bottom of Page)"/>
          <w:docPartUnique/>
        </w:docPartObj>
      </w:sdtPr>
      <w:sdtContent>
        <w:r w:rsidR="000A5B5B" w:rsidRPr="00D90485">
          <w:rPr>
            <w:rFonts w:cs="Times New Roman"/>
            <w:i/>
            <w:color w:val="FFFFFF" w:themeColor="background1"/>
            <w:lang w:val="es-ES"/>
          </w:rPr>
          <w:t xml:space="preserve">Página | </w:t>
        </w:r>
        <w:r w:rsidR="000A5B5B" w:rsidRPr="00D90485">
          <w:rPr>
            <w:rFonts w:cs="Times New Roman"/>
            <w:i/>
            <w:color w:val="FFFFFF" w:themeColor="background1"/>
          </w:rPr>
          <w:fldChar w:fldCharType="begin"/>
        </w:r>
        <w:r w:rsidR="000A5B5B" w:rsidRPr="00D90485">
          <w:rPr>
            <w:rFonts w:cs="Times New Roman"/>
            <w:i/>
            <w:color w:val="FFFFFF" w:themeColor="background1"/>
          </w:rPr>
          <w:instrText>PAGE   \* MERGEFORMAT</w:instrText>
        </w:r>
        <w:r w:rsidR="000A5B5B" w:rsidRPr="00D90485">
          <w:rPr>
            <w:rFonts w:cs="Times New Roman"/>
            <w:i/>
            <w:color w:val="FFFFFF" w:themeColor="background1"/>
          </w:rPr>
          <w:fldChar w:fldCharType="separate"/>
        </w:r>
        <w:r w:rsidR="004A5583" w:rsidRPr="00D90485">
          <w:rPr>
            <w:rFonts w:cs="Times New Roman"/>
            <w:i/>
            <w:noProof/>
            <w:color w:val="FFFFFF" w:themeColor="background1"/>
            <w:lang w:val="es-ES"/>
          </w:rPr>
          <w:t>11</w:t>
        </w:r>
        <w:r w:rsidR="000A5B5B" w:rsidRPr="00D90485">
          <w:rPr>
            <w:rFonts w:cs="Times New Roman"/>
            <w:i/>
            <w:color w:val="FFFFFF" w:themeColor="background1"/>
          </w:rPr>
          <w:fldChar w:fldCharType="end"/>
        </w:r>
        <w:r w:rsidR="000A5B5B" w:rsidRPr="00D90485">
          <w:rPr>
            <w:rFonts w:cs="Times New Roman"/>
            <w:i/>
            <w:color w:val="FFFFFF" w:themeColor="background1"/>
            <w:lang w:val="es-ES"/>
          </w:rPr>
          <w:t xml:space="preserve"> </w:t>
        </w:r>
      </w:sdtContent>
    </w:sdt>
  </w:p>
  <w:p w14:paraId="3E2643A1" w14:textId="5F3AB2F1" w:rsidR="00902B34" w:rsidRDefault="00CD72C5" w:rsidP="007916AA">
    <w:pPr>
      <w:tabs>
        <w:tab w:val="left" w:pos="935"/>
        <w:tab w:val="left" w:pos="3375"/>
      </w:tabs>
    </w:pPr>
    <w:r>
      <w:tab/>
    </w:r>
    <w:r w:rsidR="007916A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AAF1" w14:textId="77777777" w:rsidR="000A5B5B" w:rsidRDefault="000A5B5B">
    <w:pPr>
      <w:pStyle w:val="Piedepgina"/>
    </w:pPr>
    <w:r>
      <w:rPr>
        <w:rFonts w:cs="Times New Roman"/>
        <w:i/>
        <w:noProof/>
        <w:color w:val="1F497D" w:themeColor="text2"/>
        <w:lang w:eastAsia="es-G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C67F3FC" wp14:editId="2B07D3AE">
              <wp:simplePos x="0" y="0"/>
              <wp:positionH relativeFrom="column">
                <wp:posOffset>77580</wp:posOffset>
              </wp:positionH>
              <wp:positionV relativeFrom="paragraph">
                <wp:posOffset>-206568</wp:posOffset>
              </wp:positionV>
              <wp:extent cx="5931315" cy="47625"/>
              <wp:effectExtent l="0" t="0" r="12700" b="28575"/>
              <wp:wrapNone/>
              <wp:docPr id="45" name="Rectángulo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1315" cy="47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77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99000">
                            <a:schemeClr val="bg1">
                              <a:lumMod val="95000"/>
                            </a:schemeClr>
                          </a:gs>
                          <a:gs pos="89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0" scaled="0"/>
                        <a:tileRect/>
                      </a:gradFill>
                      <a:ln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7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99000">
                              <a:schemeClr val="bg1">
                                <a:lumMod val="95000"/>
                              </a:schemeClr>
                            </a:gs>
                            <a:gs pos="89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B7CC1D9" id="45 Rectángulo" o:spid="_x0000_s1026" style="position:absolute;margin-left:6.1pt;margin-top:-16.25pt;width:467.05pt;height:3.7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" fillcolor="#8aabd3 [2132]" strokeweight="2pt">
              <v:fill color2="#f2f2f2 [3052]" rotate="t" angle="90" colors="0 #9ab5e4;50463f #c2d1ed;58327f #e1e8f5;64881f #f2f2f2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C013" w14:textId="77777777" w:rsidR="004E2A19" w:rsidRDefault="004E2A19" w:rsidP="000B5E1C">
      <w:r>
        <w:separator/>
      </w:r>
    </w:p>
  </w:footnote>
  <w:footnote w:type="continuationSeparator" w:id="0">
    <w:p w14:paraId="41FF928E" w14:textId="77777777" w:rsidR="004E2A19" w:rsidRDefault="004E2A19" w:rsidP="000B5E1C">
      <w:r>
        <w:continuationSeparator/>
      </w:r>
    </w:p>
  </w:footnote>
  <w:footnote w:type="continuationNotice" w:id="1">
    <w:p w14:paraId="73BA9ED7" w14:textId="77777777" w:rsidR="004E2A19" w:rsidRDefault="004E2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714C" w14:textId="4F9466B7" w:rsidR="000A5B5B" w:rsidRPr="00AC45C7" w:rsidRDefault="002213CF" w:rsidP="00AC45C7">
    <w:pPr>
      <w:pStyle w:val="Encabezado"/>
      <w:jc w:val="right"/>
      <w:rPr>
        <w:rFonts w:cs="Times New Roman"/>
        <w:i/>
        <w:color w:val="1F497D" w:themeColor="text2"/>
      </w:rPr>
    </w:pPr>
    <w:r w:rsidRPr="00541048">
      <w:rPr>
        <w:rFonts w:cs="Times New Roman"/>
        <w:i/>
        <w:noProof/>
        <w:color w:val="FFFFFF" w:themeColor="background1"/>
        <w:lang w:eastAsia="es-GT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6DEA52F" wp14:editId="46E53ED9">
              <wp:simplePos x="0" y="0"/>
              <wp:positionH relativeFrom="margin">
                <wp:posOffset>1189990</wp:posOffset>
              </wp:positionH>
              <wp:positionV relativeFrom="paragraph">
                <wp:posOffset>-100025</wp:posOffset>
              </wp:positionV>
              <wp:extent cx="4822088" cy="440574"/>
              <wp:effectExtent l="57150" t="19050" r="74295" b="93345"/>
              <wp:wrapNone/>
              <wp:docPr id="44" name="Rectángulo: esquinas superiores cortadas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22088" cy="440574"/>
                      </a:xfrm>
                      <a:prstGeom prst="snip2Same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2F5878" w14:textId="65FA1338" w:rsidR="006E6E90" w:rsidRDefault="006E6E90" w:rsidP="006E6E90">
                          <w:pPr>
                            <w:jc w:val="center"/>
                          </w:pPr>
                          <w:r w:rsidRPr="00541048">
                            <w:rPr>
                              <w:rFonts w:cs="Times New Roman"/>
                              <w:i/>
                              <w:color w:val="FFFFFF" w:themeColor="background1"/>
                            </w:rPr>
                            <w:t>Dirección de Análisis y Política Fiscal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DEA52F" id="Rectángulo: esquinas superiores cortadas 44" o:spid="_x0000_s1028" style="position:absolute;left:0;text-align:left;margin-left:93.7pt;margin-top:-7.9pt;width:379.7pt;height:34.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22088,4405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" adj="-11796480,,5400" path="m73430,l4748658,r73430,73430l4822088,440574r,l,440574r,l,73430,73430,xe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troke joinstyle="miter"/>
              <v:shadow on="t" color="black" opacity="22937f" origin=",.5" offset="0,.63889mm"/>
              <v:formulas/>
              <v:path arrowok="t" o:connecttype="custom" o:connectlocs="73430,0;4748658,0;4822088,73430;4822088,440574;4822088,440574;0,440574;0,440574;0,73430;73430,0" o:connectangles="0,0,0,0,0,0,0,0,0" textboxrect="0,0,4822088,440574"/>
              <v:textbox>
                <w:txbxContent>
                  <w:p w14:paraId="122F5878" w14:textId="65FA1338" w:rsidR="006E6E90" w:rsidRDefault="006E6E90" w:rsidP="006E6E90">
                    <w:pPr>
                      <w:jc w:val="center"/>
                    </w:pPr>
                    <w:r w:rsidRPr="00541048">
                      <w:rPr>
                        <w:rFonts w:cs="Times New Roman"/>
                        <w:i/>
                        <w:color w:val="FFFFFF" w:themeColor="background1"/>
                      </w:rPr>
                      <w:t>Dirección de Análisis y Política Fiscal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4C54" w:rsidRPr="00541048">
      <w:rPr>
        <w:noProof/>
        <w:color w:val="FFFFFF" w:themeColor="background1"/>
      </w:rPr>
      <w:drawing>
        <wp:anchor distT="0" distB="0" distL="114300" distR="114300" simplePos="0" relativeHeight="251658243" behindDoc="1" locked="0" layoutInCell="1" allowOverlap="1" wp14:anchorId="694B849B" wp14:editId="6CC52FD8">
          <wp:simplePos x="0" y="0"/>
          <wp:positionH relativeFrom="column">
            <wp:posOffset>-136222</wp:posOffset>
          </wp:positionH>
          <wp:positionV relativeFrom="paragraph">
            <wp:posOffset>-232410</wp:posOffset>
          </wp:positionV>
          <wp:extent cx="1403584" cy="736979"/>
          <wp:effectExtent l="0" t="0" r="0" b="0"/>
          <wp:wrapNone/>
          <wp:docPr id="1422846671" name="Imagen 142284667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922572" name="Imagen 86192257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584" cy="736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674F" w14:textId="77777777" w:rsidR="000A5B5B" w:rsidRPr="005329C2" w:rsidRDefault="000A5B5B" w:rsidP="00CB498E">
    <w:pPr>
      <w:pStyle w:val="Encabezado"/>
      <w:jc w:val="center"/>
      <w:rPr>
        <w:rFonts w:cs="Times New Roman"/>
        <w:i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9F2"/>
    <w:multiLevelType w:val="hybridMultilevel"/>
    <w:tmpl w:val="36DC130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60D"/>
    <w:multiLevelType w:val="hybridMultilevel"/>
    <w:tmpl w:val="5652F5FA"/>
    <w:lvl w:ilvl="0" w:tplc="47281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30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2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6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C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0C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4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26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1A32CD"/>
    <w:multiLevelType w:val="hybridMultilevel"/>
    <w:tmpl w:val="6818CFE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3E59"/>
    <w:multiLevelType w:val="hybridMultilevel"/>
    <w:tmpl w:val="F832278A"/>
    <w:lvl w:ilvl="0" w:tplc="4142F5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536B5"/>
    <w:multiLevelType w:val="hybridMultilevel"/>
    <w:tmpl w:val="02E2FB34"/>
    <w:lvl w:ilvl="0" w:tplc="2E82865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1248"/>
    <w:multiLevelType w:val="hybridMultilevel"/>
    <w:tmpl w:val="2E12EF8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A2B56"/>
    <w:multiLevelType w:val="hybridMultilevel"/>
    <w:tmpl w:val="60DAF59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51372"/>
    <w:multiLevelType w:val="multilevel"/>
    <w:tmpl w:val="896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5232B"/>
    <w:multiLevelType w:val="hybridMultilevel"/>
    <w:tmpl w:val="E06C4B02"/>
    <w:lvl w:ilvl="0" w:tplc="47281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30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2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6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C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0C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4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26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03721B"/>
    <w:multiLevelType w:val="multilevel"/>
    <w:tmpl w:val="43220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605102"/>
    <w:multiLevelType w:val="hybridMultilevel"/>
    <w:tmpl w:val="FEA4A058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B756652"/>
    <w:multiLevelType w:val="hybridMultilevel"/>
    <w:tmpl w:val="4C3CF3C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E5E3C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3D32D9"/>
    <w:multiLevelType w:val="hybridMultilevel"/>
    <w:tmpl w:val="D6B8F3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A09C0"/>
    <w:multiLevelType w:val="hybridMultilevel"/>
    <w:tmpl w:val="92F073A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A7D94"/>
    <w:multiLevelType w:val="hybridMultilevel"/>
    <w:tmpl w:val="D4A4493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24AD2"/>
    <w:multiLevelType w:val="multilevel"/>
    <w:tmpl w:val="0C0A0025"/>
    <w:lvl w:ilvl="0">
      <w:start w:val="1"/>
      <w:numFmt w:val="decimal"/>
      <w:pStyle w:val="Ttulo11"/>
      <w:lvlText w:val="%1"/>
      <w:lvlJc w:val="left"/>
      <w:pPr>
        <w:ind w:left="432" w:hanging="432"/>
      </w:pPr>
    </w:lvl>
    <w:lvl w:ilvl="1">
      <w:start w:val="1"/>
      <w:numFmt w:val="decimal"/>
      <w:pStyle w:val="Ttulo21"/>
      <w:lvlText w:val="%1.%2"/>
      <w:lvlJc w:val="left"/>
      <w:pPr>
        <w:ind w:left="576" w:hanging="576"/>
      </w:pPr>
    </w:lvl>
    <w:lvl w:ilvl="2">
      <w:start w:val="1"/>
      <w:numFmt w:val="decimal"/>
      <w:pStyle w:val="Ttulo31"/>
      <w:lvlText w:val="%1.%2.%3"/>
      <w:lvlJc w:val="left"/>
      <w:pPr>
        <w:ind w:left="720" w:hanging="720"/>
      </w:p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8E61988"/>
    <w:multiLevelType w:val="hybridMultilevel"/>
    <w:tmpl w:val="7D04A81C"/>
    <w:lvl w:ilvl="0" w:tplc="A1F83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344CF8"/>
    <w:multiLevelType w:val="hybridMultilevel"/>
    <w:tmpl w:val="39F4D9A0"/>
    <w:lvl w:ilvl="0" w:tplc="10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88A822C4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0A663566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FC0AC50E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2F2C20D6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3D765614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D7B4C0EE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FFBC65E4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7AD008E2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19" w15:restartNumberingAfterBreak="0">
    <w:nsid w:val="3C7636C7"/>
    <w:multiLevelType w:val="hybridMultilevel"/>
    <w:tmpl w:val="F4A85842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4E4675"/>
    <w:multiLevelType w:val="hybridMultilevel"/>
    <w:tmpl w:val="592A14C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878AD"/>
    <w:multiLevelType w:val="multilevel"/>
    <w:tmpl w:val="6BE6B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3772FF"/>
    <w:multiLevelType w:val="multilevel"/>
    <w:tmpl w:val="B420C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455B36"/>
    <w:multiLevelType w:val="hybridMultilevel"/>
    <w:tmpl w:val="2F9A9654"/>
    <w:lvl w:ilvl="0" w:tplc="DB6E85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87C29"/>
    <w:multiLevelType w:val="hybridMultilevel"/>
    <w:tmpl w:val="21D2FB3A"/>
    <w:lvl w:ilvl="0" w:tplc="100A0017">
      <w:start w:val="1"/>
      <w:numFmt w:val="lowerLetter"/>
      <w:lvlText w:val="%1)"/>
      <w:lvlJc w:val="left"/>
      <w:pPr>
        <w:ind w:left="1776" w:hanging="360"/>
      </w:p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23C077D"/>
    <w:multiLevelType w:val="multilevel"/>
    <w:tmpl w:val="16DEA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val="es-G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777B9E"/>
    <w:multiLevelType w:val="hybridMultilevel"/>
    <w:tmpl w:val="3F0047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A1421"/>
    <w:multiLevelType w:val="multilevel"/>
    <w:tmpl w:val="B63CC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741E90"/>
    <w:multiLevelType w:val="multilevel"/>
    <w:tmpl w:val="58DEA22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B02801"/>
    <w:multiLevelType w:val="hybridMultilevel"/>
    <w:tmpl w:val="CDF2324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E5F78"/>
    <w:multiLevelType w:val="multilevel"/>
    <w:tmpl w:val="B63CC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403D22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CE5754F"/>
    <w:multiLevelType w:val="hybridMultilevel"/>
    <w:tmpl w:val="66D0A53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A7293"/>
    <w:multiLevelType w:val="hybridMultilevel"/>
    <w:tmpl w:val="574693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B22BF"/>
    <w:multiLevelType w:val="hybridMultilevel"/>
    <w:tmpl w:val="7D0EE6BA"/>
    <w:lvl w:ilvl="0" w:tplc="FD3A4A76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E267F"/>
    <w:multiLevelType w:val="hybridMultilevel"/>
    <w:tmpl w:val="B18CB370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D15BE"/>
    <w:multiLevelType w:val="multilevel"/>
    <w:tmpl w:val="E6A25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9C3A2A"/>
    <w:multiLevelType w:val="hybridMultilevel"/>
    <w:tmpl w:val="36860404"/>
    <w:lvl w:ilvl="0" w:tplc="46F0C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0B6EE">
      <w:start w:val="8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E46F8">
      <w:start w:val="8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B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28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20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6D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2E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20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C3E5119"/>
    <w:multiLevelType w:val="hybridMultilevel"/>
    <w:tmpl w:val="D05E2C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B5DA4"/>
    <w:multiLevelType w:val="hybridMultilevel"/>
    <w:tmpl w:val="E174D1C4"/>
    <w:lvl w:ilvl="0" w:tplc="80D27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A0017">
      <w:start w:val="1"/>
      <w:numFmt w:val="lowerLetter"/>
      <w:lvlText w:val="%2)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6333D"/>
    <w:multiLevelType w:val="hybridMultilevel"/>
    <w:tmpl w:val="C3B0B7D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985C45"/>
    <w:multiLevelType w:val="hybridMultilevel"/>
    <w:tmpl w:val="0C14AC04"/>
    <w:lvl w:ilvl="0" w:tplc="100A0017">
      <w:start w:val="1"/>
      <w:numFmt w:val="lowerLetter"/>
      <w:lvlText w:val="%1)"/>
      <w:lvlJc w:val="left"/>
      <w:pPr>
        <w:ind w:left="1068" w:hanging="360"/>
      </w:p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050691"/>
    <w:multiLevelType w:val="hybridMultilevel"/>
    <w:tmpl w:val="ED325860"/>
    <w:lvl w:ilvl="0" w:tplc="BDAE2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86473"/>
    <w:multiLevelType w:val="hybridMultilevel"/>
    <w:tmpl w:val="AFA85F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90913"/>
    <w:multiLevelType w:val="hybridMultilevel"/>
    <w:tmpl w:val="8D88FC8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C208F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9773626">
    <w:abstractNumId w:val="28"/>
  </w:num>
  <w:num w:numId="2" w16cid:durableId="1000624801">
    <w:abstractNumId w:val="26"/>
  </w:num>
  <w:num w:numId="3" w16cid:durableId="974139011">
    <w:abstractNumId w:val="14"/>
  </w:num>
  <w:num w:numId="4" w16cid:durableId="2013485743">
    <w:abstractNumId w:val="13"/>
  </w:num>
  <w:num w:numId="5" w16cid:durableId="1769424427">
    <w:abstractNumId w:val="32"/>
  </w:num>
  <w:num w:numId="6" w16cid:durableId="564730748">
    <w:abstractNumId w:val="43"/>
  </w:num>
  <w:num w:numId="7" w16cid:durableId="1750348391">
    <w:abstractNumId w:val="33"/>
  </w:num>
  <w:num w:numId="8" w16cid:durableId="1807355497">
    <w:abstractNumId w:val="5"/>
  </w:num>
  <w:num w:numId="9" w16cid:durableId="1494833142">
    <w:abstractNumId w:val="4"/>
  </w:num>
  <w:num w:numId="10" w16cid:durableId="719550746">
    <w:abstractNumId w:val="21"/>
  </w:num>
  <w:num w:numId="11" w16cid:durableId="1925992356">
    <w:abstractNumId w:val="22"/>
  </w:num>
  <w:num w:numId="12" w16cid:durableId="1487018313">
    <w:abstractNumId w:val="25"/>
  </w:num>
  <w:num w:numId="13" w16cid:durableId="1164203856">
    <w:abstractNumId w:val="34"/>
  </w:num>
  <w:num w:numId="14" w16cid:durableId="1873302296">
    <w:abstractNumId w:val="29"/>
  </w:num>
  <w:num w:numId="15" w16cid:durableId="1097753545">
    <w:abstractNumId w:val="8"/>
  </w:num>
  <w:num w:numId="16" w16cid:durableId="1949118614">
    <w:abstractNumId w:val="1"/>
  </w:num>
  <w:num w:numId="17" w16cid:durableId="1417552167">
    <w:abstractNumId w:val="18"/>
  </w:num>
  <w:num w:numId="18" w16cid:durableId="1893539939">
    <w:abstractNumId w:val="24"/>
  </w:num>
  <w:num w:numId="19" w16cid:durableId="258948327">
    <w:abstractNumId w:val="37"/>
  </w:num>
  <w:num w:numId="20" w16cid:durableId="917057803">
    <w:abstractNumId w:val="17"/>
  </w:num>
  <w:num w:numId="21" w16cid:durableId="1558392405">
    <w:abstractNumId w:val="39"/>
  </w:num>
  <w:num w:numId="22" w16cid:durableId="1176920928">
    <w:abstractNumId w:val="41"/>
  </w:num>
  <w:num w:numId="23" w16cid:durableId="819886318">
    <w:abstractNumId w:val="16"/>
  </w:num>
  <w:num w:numId="24" w16cid:durableId="933441057">
    <w:abstractNumId w:val="16"/>
  </w:num>
  <w:num w:numId="25" w16cid:durableId="61877803">
    <w:abstractNumId w:val="10"/>
  </w:num>
  <w:num w:numId="26" w16cid:durableId="159122990">
    <w:abstractNumId w:val="3"/>
  </w:num>
  <w:num w:numId="27" w16cid:durableId="1473249418">
    <w:abstractNumId w:val="38"/>
  </w:num>
  <w:num w:numId="28" w16cid:durableId="683946646">
    <w:abstractNumId w:val="11"/>
  </w:num>
  <w:num w:numId="29" w16cid:durableId="1392923434">
    <w:abstractNumId w:val="15"/>
  </w:num>
  <w:num w:numId="30" w16cid:durableId="1152719550">
    <w:abstractNumId w:val="42"/>
  </w:num>
  <w:num w:numId="31" w16cid:durableId="1901473222">
    <w:abstractNumId w:val="2"/>
  </w:num>
  <w:num w:numId="32" w16cid:durableId="1298491143">
    <w:abstractNumId w:val="36"/>
  </w:num>
  <w:num w:numId="33" w16cid:durableId="773286226">
    <w:abstractNumId w:val="44"/>
  </w:num>
  <w:num w:numId="34" w16cid:durableId="989210624">
    <w:abstractNumId w:val="20"/>
  </w:num>
  <w:num w:numId="35" w16cid:durableId="228080559">
    <w:abstractNumId w:val="12"/>
  </w:num>
  <w:num w:numId="36" w16cid:durableId="1131022261">
    <w:abstractNumId w:val="45"/>
  </w:num>
  <w:num w:numId="37" w16cid:durableId="897086594">
    <w:abstractNumId w:val="35"/>
  </w:num>
  <w:num w:numId="38" w16cid:durableId="533467765">
    <w:abstractNumId w:val="23"/>
  </w:num>
  <w:num w:numId="39" w16cid:durableId="2085370034">
    <w:abstractNumId w:val="31"/>
  </w:num>
  <w:num w:numId="40" w16cid:durableId="1263760892">
    <w:abstractNumId w:val="7"/>
  </w:num>
  <w:num w:numId="41" w16cid:durableId="1523206304">
    <w:abstractNumId w:val="27"/>
  </w:num>
  <w:num w:numId="42" w16cid:durableId="14312137">
    <w:abstractNumId w:val="30"/>
  </w:num>
  <w:num w:numId="43" w16cid:durableId="1967809446">
    <w:abstractNumId w:val="9"/>
  </w:num>
  <w:num w:numId="44" w16cid:durableId="965507960">
    <w:abstractNumId w:val="6"/>
  </w:num>
  <w:num w:numId="45" w16cid:durableId="2019190475">
    <w:abstractNumId w:val="40"/>
  </w:num>
  <w:num w:numId="46" w16cid:durableId="1550604838">
    <w:abstractNumId w:val="19"/>
  </w:num>
  <w:num w:numId="47" w16cid:durableId="32382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8"/>
    <w:rsid w:val="0000001E"/>
    <w:rsid w:val="00000188"/>
    <w:rsid w:val="000002AE"/>
    <w:rsid w:val="000003CC"/>
    <w:rsid w:val="00000530"/>
    <w:rsid w:val="000006A8"/>
    <w:rsid w:val="00000926"/>
    <w:rsid w:val="00001278"/>
    <w:rsid w:val="000012A4"/>
    <w:rsid w:val="000013F6"/>
    <w:rsid w:val="0000165C"/>
    <w:rsid w:val="0000167B"/>
    <w:rsid w:val="000019FB"/>
    <w:rsid w:val="00001B7A"/>
    <w:rsid w:val="00001ED4"/>
    <w:rsid w:val="00002881"/>
    <w:rsid w:val="00002B35"/>
    <w:rsid w:val="000032AE"/>
    <w:rsid w:val="000038B1"/>
    <w:rsid w:val="00003BA5"/>
    <w:rsid w:val="000045FB"/>
    <w:rsid w:val="00004C61"/>
    <w:rsid w:val="00004DCF"/>
    <w:rsid w:val="00004F16"/>
    <w:rsid w:val="00005674"/>
    <w:rsid w:val="00005925"/>
    <w:rsid w:val="00005EB8"/>
    <w:rsid w:val="00006172"/>
    <w:rsid w:val="000065D5"/>
    <w:rsid w:val="0000665E"/>
    <w:rsid w:val="000073D2"/>
    <w:rsid w:val="00007F68"/>
    <w:rsid w:val="000106AC"/>
    <w:rsid w:val="000108BE"/>
    <w:rsid w:val="00010D58"/>
    <w:rsid w:val="000115A2"/>
    <w:rsid w:val="000121A8"/>
    <w:rsid w:val="00012781"/>
    <w:rsid w:val="00012ACD"/>
    <w:rsid w:val="00012FB4"/>
    <w:rsid w:val="0001329E"/>
    <w:rsid w:val="000134F1"/>
    <w:rsid w:val="00013BEC"/>
    <w:rsid w:val="00013C44"/>
    <w:rsid w:val="00013ECF"/>
    <w:rsid w:val="00013FC9"/>
    <w:rsid w:val="00014246"/>
    <w:rsid w:val="0001429E"/>
    <w:rsid w:val="00014D0D"/>
    <w:rsid w:val="00014EAD"/>
    <w:rsid w:val="00014F25"/>
    <w:rsid w:val="00015107"/>
    <w:rsid w:val="00015370"/>
    <w:rsid w:val="00015674"/>
    <w:rsid w:val="00015AE5"/>
    <w:rsid w:val="00016805"/>
    <w:rsid w:val="00016CEF"/>
    <w:rsid w:val="00017427"/>
    <w:rsid w:val="000176CE"/>
    <w:rsid w:val="00017D51"/>
    <w:rsid w:val="00017FF6"/>
    <w:rsid w:val="00020733"/>
    <w:rsid w:val="00020904"/>
    <w:rsid w:val="0002091B"/>
    <w:rsid w:val="00020D03"/>
    <w:rsid w:val="00020F69"/>
    <w:rsid w:val="000212B0"/>
    <w:rsid w:val="0002188F"/>
    <w:rsid w:val="00021FD5"/>
    <w:rsid w:val="00022F9D"/>
    <w:rsid w:val="0002314E"/>
    <w:rsid w:val="000234AC"/>
    <w:rsid w:val="00023745"/>
    <w:rsid w:val="000237CB"/>
    <w:rsid w:val="000238F3"/>
    <w:rsid w:val="00023981"/>
    <w:rsid w:val="00023ADD"/>
    <w:rsid w:val="00023DC8"/>
    <w:rsid w:val="00024165"/>
    <w:rsid w:val="000245CA"/>
    <w:rsid w:val="00024BD6"/>
    <w:rsid w:val="00024BF7"/>
    <w:rsid w:val="00024DE4"/>
    <w:rsid w:val="00024F89"/>
    <w:rsid w:val="00024FF6"/>
    <w:rsid w:val="0002503D"/>
    <w:rsid w:val="00025456"/>
    <w:rsid w:val="00025827"/>
    <w:rsid w:val="00025B90"/>
    <w:rsid w:val="0002670B"/>
    <w:rsid w:val="000267E3"/>
    <w:rsid w:val="000268DF"/>
    <w:rsid w:val="00026985"/>
    <w:rsid w:val="00026B80"/>
    <w:rsid w:val="00027A8F"/>
    <w:rsid w:val="00027D48"/>
    <w:rsid w:val="000306FE"/>
    <w:rsid w:val="000309EC"/>
    <w:rsid w:val="00031937"/>
    <w:rsid w:val="00031A96"/>
    <w:rsid w:val="00032230"/>
    <w:rsid w:val="0003257D"/>
    <w:rsid w:val="000326D8"/>
    <w:rsid w:val="00032B26"/>
    <w:rsid w:val="00033312"/>
    <w:rsid w:val="0003331E"/>
    <w:rsid w:val="0003343E"/>
    <w:rsid w:val="00033638"/>
    <w:rsid w:val="00033A52"/>
    <w:rsid w:val="00033B15"/>
    <w:rsid w:val="00033DB1"/>
    <w:rsid w:val="00033E94"/>
    <w:rsid w:val="000347FD"/>
    <w:rsid w:val="00034931"/>
    <w:rsid w:val="00035952"/>
    <w:rsid w:val="00035C14"/>
    <w:rsid w:val="00035E51"/>
    <w:rsid w:val="0003648B"/>
    <w:rsid w:val="00036843"/>
    <w:rsid w:val="000369C8"/>
    <w:rsid w:val="0003766B"/>
    <w:rsid w:val="000405FF"/>
    <w:rsid w:val="000410C1"/>
    <w:rsid w:val="0004120F"/>
    <w:rsid w:val="00041505"/>
    <w:rsid w:val="00041776"/>
    <w:rsid w:val="00041AA6"/>
    <w:rsid w:val="0004212A"/>
    <w:rsid w:val="00042669"/>
    <w:rsid w:val="00042AA3"/>
    <w:rsid w:val="00043B88"/>
    <w:rsid w:val="000441F1"/>
    <w:rsid w:val="000449B7"/>
    <w:rsid w:val="00044AF8"/>
    <w:rsid w:val="000453CA"/>
    <w:rsid w:val="00045570"/>
    <w:rsid w:val="00045861"/>
    <w:rsid w:val="00045CD6"/>
    <w:rsid w:val="00046004"/>
    <w:rsid w:val="00046060"/>
    <w:rsid w:val="0004612F"/>
    <w:rsid w:val="00046E34"/>
    <w:rsid w:val="00046F9F"/>
    <w:rsid w:val="000476BB"/>
    <w:rsid w:val="000476F2"/>
    <w:rsid w:val="0004778B"/>
    <w:rsid w:val="00047AF2"/>
    <w:rsid w:val="000500D6"/>
    <w:rsid w:val="00050721"/>
    <w:rsid w:val="00051734"/>
    <w:rsid w:val="00051879"/>
    <w:rsid w:val="00051BBF"/>
    <w:rsid w:val="0005215A"/>
    <w:rsid w:val="00053482"/>
    <w:rsid w:val="00053A65"/>
    <w:rsid w:val="00053AD6"/>
    <w:rsid w:val="00053DB7"/>
    <w:rsid w:val="00053F58"/>
    <w:rsid w:val="0005529E"/>
    <w:rsid w:val="000552A7"/>
    <w:rsid w:val="00055614"/>
    <w:rsid w:val="00055725"/>
    <w:rsid w:val="00055925"/>
    <w:rsid w:val="00055A1B"/>
    <w:rsid w:val="00055B22"/>
    <w:rsid w:val="00055D08"/>
    <w:rsid w:val="00055DD0"/>
    <w:rsid w:val="00056E8E"/>
    <w:rsid w:val="000572DF"/>
    <w:rsid w:val="0005754C"/>
    <w:rsid w:val="00057827"/>
    <w:rsid w:val="00057B7D"/>
    <w:rsid w:val="00057EB8"/>
    <w:rsid w:val="00060974"/>
    <w:rsid w:val="000617F8"/>
    <w:rsid w:val="00061975"/>
    <w:rsid w:val="00061E2E"/>
    <w:rsid w:val="0006231C"/>
    <w:rsid w:val="00062CBA"/>
    <w:rsid w:val="00062E16"/>
    <w:rsid w:val="00062ED8"/>
    <w:rsid w:val="00063068"/>
    <w:rsid w:val="00063364"/>
    <w:rsid w:val="00063373"/>
    <w:rsid w:val="00063A1D"/>
    <w:rsid w:val="00063CB5"/>
    <w:rsid w:val="000642AF"/>
    <w:rsid w:val="0006477B"/>
    <w:rsid w:val="00064BA9"/>
    <w:rsid w:val="00064EA8"/>
    <w:rsid w:val="00065259"/>
    <w:rsid w:val="00065451"/>
    <w:rsid w:val="000654B6"/>
    <w:rsid w:val="000655A9"/>
    <w:rsid w:val="0006595D"/>
    <w:rsid w:val="00065991"/>
    <w:rsid w:val="00065C24"/>
    <w:rsid w:val="00066095"/>
    <w:rsid w:val="0006610F"/>
    <w:rsid w:val="00066283"/>
    <w:rsid w:val="00066286"/>
    <w:rsid w:val="0006680E"/>
    <w:rsid w:val="00066CB8"/>
    <w:rsid w:val="00066CD1"/>
    <w:rsid w:val="00067459"/>
    <w:rsid w:val="00067741"/>
    <w:rsid w:val="000678AC"/>
    <w:rsid w:val="00067AD8"/>
    <w:rsid w:val="00067B4A"/>
    <w:rsid w:val="00070108"/>
    <w:rsid w:val="00070552"/>
    <w:rsid w:val="000705C1"/>
    <w:rsid w:val="000706ED"/>
    <w:rsid w:val="000707A3"/>
    <w:rsid w:val="00070899"/>
    <w:rsid w:val="000708B3"/>
    <w:rsid w:val="00070A2D"/>
    <w:rsid w:val="00070E63"/>
    <w:rsid w:val="00071109"/>
    <w:rsid w:val="00071810"/>
    <w:rsid w:val="00071B55"/>
    <w:rsid w:val="00071CAF"/>
    <w:rsid w:val="00071DD6"/>
    <w:rsid w:val="00072136"/>
    <w:rsid w:val="00072460"/>
    <w:rsid w:val="00072BAA"/>
    <w:rsid w:val="00072C8D"/>
    <w:rsid w:val="0007319D"/>
    <w:rsid w:val="00073457"/>
    <w:rsid w:val="000736AA"/>
    <w:rsid w:val="000737A4"/>
    <w:rsid w:val="00073EAA"/>
    <w:rsid w:val="00073F0A"/>
    <w:rsid w:val="000740F4"/>
    <w:rsid w:val="000741A3"/>
    <w:rsid w:val="00074337"/>
    <w:rsid w:val="00074476"/>
    <w:rsid w:val="00074844"/>
    <w:rsid w:val="00074C38"/>
    <w:rsid w:val="00075216"/>
    <w:rsid w:val="000754D5"/>
    <w:rsid w:val="00076415"/>
    <w:rsid w:val="00076794"/>
    <w:rsid w:val="0007736A"/>
    <w:rsid w:val="00077425"/>
    <w:rsid w:val="0007767A"/>
    <w:rsid w:val="0008040F"/>
    <w:rsid w:val="0008050E"/>
    <w:rsid w:val="00080F11"/>
    <w:rsid w:val="00080F5E"/>
    <w:rsid w:val="00081A07"/>
    <w:rsid w:val="00081E99"/>
    <w:rsid w:val="00082333"/>
    <w:rsid w:val="000823E4"/>
    <w:rsid w:val="0008278D"/>
    <w:rsid w:val="00082DFF"/>
    <w:rsid w:val="00082E65"/>
    <w:rsid w:val="00083239"/>
    <w:rsid w:val="0008334E"/>
    <w:rsid w:val="000836FF"/>
    <w:rsid w:val="0008380C"/>
    <w:rsid w:val="00083DC1"/>
    <w:rsid w:val="00083DEF"/>
    <w:rsid w:val="00083EE3"/>
    <w:rsid w:val="000846BE"/>
    <w:rsid w:val="00084748"/>
    <w:rsid w:val="000852BF"/>
    <w:rsid w:val="000853F6"/>
    <w:rsid w:val="000858E9"/>
    <w:rsid w:val="00085E1C"/>
    <w:rsid w:val="0008619F"/>
    <w:rsid w:val="000865AA"/>
    <w:rsid w:val="00086C6E"/>
    <w:rsid w:val="00087430"/>
    <w:rsid w:val="00087551"/>
    <w:rsid w:val="0008775B"/>
    <w:rsid w:val="00087EC1"/>
    <w:rsid w:val="00087EE1"/>
    <w:rsid w:val="00087EFB"/>
    <w:rsid w:val="00090202"/>
    <w:rsid w:val="00090AF4"/>
    <w:rsid w:val="00090C53"/>
    <w:rsid w:val="00091132"/>
    <w:rsid w:val="000918BC"/>
    <w:rsid w:val="00091942"/>
    <w:rsid w:val="00091A7F"/>
    <w:rsid w:val="00091E02"/>
    <w:rsid w:val="00092A19"/>
    <w:rsid w:val="00093371"/>
    <w:rsid w:val="00093705"/>
    <w:rsid w:val="0009397A"/>
    <w:rsid w:val="00093A1B"/>
    <w:rsid w:val="00094050"/>
    <w:rsid w:val="000944FE"/>
    <w:rsid w:val="00094A23"/>
    <w:rsid w:val="00094E26"/>
    <w:rsid w:val="0009511C"/>
    <w:rsid w:val="00095331"/>
    <w:rsid w:val="000958AF"/>
    <w:rsid w:val="00096497"/>
    <w:rsid w:val="00096AC3"/>
    <w:rsid w:val="00096FA6"/>
    <w:rsid w:val="00097862"/>
    <w:rsid w:val="00097889"/>
    <w:rsid w:val="00097C7C"/>
    <w:rsid w:val="000A09ED"/>
    <w:rsid w:val="000A1A0B"/>
    <w:rsid w:val="000A1AB2"/>
    <w:rsid w:val="000A1BF3"/>
    <w:rsid w:val="000A2C08"/>
    <w:rsid w:val="000A2D14"/>
    <w:rsid w:val="000A2D19"/>
    <w:rsid w:val="000A2D1D"/>
    <w:rsid w:val="000A424A"/>
    <w:rsid w:val="000A47FE"/>
    <w:rsid w:val="000A4A23"/>
    <w:rsid w:val="000A4AD2"/>
    <w:rsid w:val="000A5922"/>
    <w:rsid w:val="000A5B5B"/>
    <w:rsid w:val="000A5E16"/>
    <w:rsid w:val="000A5FC5"/>
    <w:rsid w:val="000A60A1"/>
    <w:rsid w:val="000A65D1"/>
    <w:rsid w:val="000A6C58"/>
    <w:rsid w:val="000A6C8D"/>
    <w:rsid w:val="000A74BA"/>
    <w:rsid w:val="000A7DD5"/>
    <w:rsid w:val="000A7E28"/>
    <w:rsid w:val="000B01D3"/>
    <w:rsid w:val="000B04CE"/>
    <w:rsid w:val="000B057B"/>
    <w:rsid w:val="000B070A"/>
    <w:rsid w:val="000B072C"/>
    <w:rsid w:val="000B07D1"/>
    <w:rsid w:val="000B0866"/>
    <w:rsid w:val="000B0CA2"/>
    <w:rsid w:val="000B0FCB"/>
    <w:rsid w:val="000B11B8"/>
    <w:rsid w:val="000B12F0"/>
    <w:rsid w:val="000B1376"/>
    <w:rsid w:val="000B1763"/>
    <w:rsid w:val="000B1C5F"/>
    <w:rsid w:val="000B1E68"/>
    <w:rsid w:val="000B20C3"/>
    <w:rsid w:val="000B2481"/>
    <w:rsid w:val="000B2992"/>
    <w:rsid w:val="000B29FE"/>
    <w:rsid w:val="000B2E7A"/>
    <w:rsid w:val="000B346C"/>
    <w:rsid w:val="000B3E87"/>
    <w:rsid w:val="000B404E"/>
    <w:rsid w:val="000B4083"/>
    <w:rsid w:val="000B4154"/>
    <w:rsid w:val="000B46D9"/>
    <w:rsid w:val="000B4929"/>
    <w:rsid w:val="000B4A3D"/>
    <w:rsid w:val="000B5075"/>
    <w:rsid w:val="000B5A6C"/>
    <w:rsid w:val="000B5CD0"/>
    <w:rsid w:val="000B5E1C"/>
    <w:rsid w:val="000B6143"/>
    <w:rsid w:val="000B6B1B"/>
    <w:rsid w:val="000B6D0C"/>
    <w:rsid w:val="000B72EA"/>
    <w:rsid w:val="000B75A4"/>
    <w:rsid w:val="000B76E1"/>
    <w:rsid w:val="000B778D"/>
    <w:rsid w:val="000C0275"/>
    <w:rsid w:val="000C0470"/>
    <w:rsid w:val="000C070B"/>
    <w:rsid w:val="000C0E21"/>
    <w:rsid w:val="000C10D5"/>
    <w:rsid w:val="000C15A8"/>
    <w:rsid w:val="000C18E5"/>
    <w:rsid w:val="000C1B89"/>
    <w:rsid w:val="000C1CC5"/>
    <w:rsid w:val="000C1F8D"/>
    <w:rsid w:val="000C20CC"/>
    <w:rsid w:val="000C25EB"/>
    <w:rsid w:val="000C27C6"/>
    <w:rsid w:val="000C283B"/>
    <w:rsid w:val="000C3476"/>
    <w:rsid w:val="000C3496"/>
    <w:rsid w:val="000C3815"/>
    <w:rsid w:val="000C3E95"/>
    <w:rsid w:val="000C487F"/>
    <w:rsid w:val="000C4AD1"/>
    <w:rsid w:val="000C51BD"/>
    <w:rsid w:val="000C51D3"/>
    <w:rsid w:val="000C5320"/>
    <w:rsid w:val="000C54D3"/>
    <w:rsid w:val="000C5BA6"/>
    <w:rsid w:val="000C5BDD"/>
    <w:rsid w:val="000C662D"/>
    <w:rsid w:val="000C6B55"/>
    <w:rsid w:val="000C7076"/>
    <w:rsid w:val="000C71BD"/>
    <w:rsid w:val="000C795B"/>
    <w:rsid w:val="000C7961"/>
    <w:rsid w:val="000C7E9B"/>
    <w:rsid w:val="000D0188"/>
    <w:rsid w:val="000D1059"/>
    <w:rsid w:val="000D153C"/>
    <w:rsid w:val="000D15A1"/>
    <w:rsid w:val="000D17AF"/>
    <w:rsid w:val="000D2677"/>
    <w:rsid w:val="000D2952"/>
    <w:rsid w:val="000D29F4"/>
    <w:rsid w:val="000D2CF4"/>
    <w:rsid w:val="000D2D05"/>
    <w:rsid w:val="000D2DE9"/>
    <w:rsid w:val="000D2DF6"/>
    <w:rsid w:val="000D2F4D"/>
    <w:rsid w:val="000D34A3"/>
    <w:rsid w:val="000D3566"/>
    <w:rsid w:val="000D365F"/>
    <w:rsid w:val="000D3B2E"/>
    <w:rsid w:val="000D3F6A"/>
    <w:rsid w:val="000D4B4D"/>
    <w:rsid w:val="000D4B80"/>
    <w:rsid w:val="000D4BC3"/>
    <w:rsid w:val="000D4CB3"/>
    <w:rsid w:val="000D515B"/>
    <w:rsid w:val="000D57BA"/>
    <w:rsid w:val="000D58D6"/>
    <w:rsid w:val="000D5BE8"/>
    <w:rsid w:val="000D734F"/>
    <w:rsid w:val="000D73A6"/>
    <w:rsid w:val="000D7477"/>
    <w:rsid w:val="000D7805"/>
    <w:rsid w:val="000D7EEB"/>
    <w:rsid w:val="000E0059"/>
    <w:rsid w:val="000E055B"/>
    <w:rsid w:val="000E058F"/>
    <w:rsid w:val="000E08B2"/>
    <w:rsid w:val="000E0D12"/>
    <w:rsid w:val="000E0DAA"/>
    <w:rsid w:val="000E0E1E"/>
    <w:rsid w:val="000E0EB5"/>
    <w:rsid w:val="000E0F3C"/>
    <w:rsid w:val="000E1495"/>
    <w:rsid w:val="000E193E"/>
    <w:rsid w:val="000E1D6B"/>
    <w:rsid w:val="000E28B4"/>
    <w:rsid w:val="000E3036"/>
    <w:rsid w:val="000E306F"/>
    <w:rsid w:val="000E3B60"/>
    <w:rsid w:val="000E3BAE"/>
    <w:rsid w:val="000E3E7A"/>
    <w:rsid w:val="000E4641"/>
    <w:rsid w:val="000E488C"/>
    <w:rsid w:val="000E4E2E"/>
    <w:rsid w:val="000E51BC"/>
    <w:rsid w:val="000E56E2"/>
    <w:rsid w:val="000E5739"/>
    <w:rsid w:val="000E57A1"/>
    <w:rsid w:val="000E5997"/>
    <w:rsid w:val="000E5A40"/>
    <w:rsid w:val="000E5B2A"/>
    <w:rsid w:val="000E5CCD"/>
    <w:rsid w:val="000E5D0D"/>
    <w:rsid w:val="000E5EC7"/>
    <w:rsid w:val="000E5EE6"/>
    <w:rsid w:val="000E60F8"/>
    <w:rsid w:val="000E631D"/>
    <w:rsid w:val="000E6989"/>
    <w:rsid w:val="000E7209"/>
    <w:rsid w:val="000E7387"/>
    <w:rsid w:val="000E76F1"/>
    <w:rsid w:val="000E79A8"/>
    <w:rsid w:val="000E7AE8"/>
    <w:rsid w:val="000F049B"/>
    <w:rsid w:val="000F058D"/>
    <w:rsid w:val="000F0DA3"/>
    <w:rsid w:val="000F1214"/>
    <w:rsid w:val="000F19C1"/>
    <w:rsid w:val="000F211F"/>
    <w:rsid w:val="000F2939"/>
    <w:rsid w:val="000F2D5F"/>
    <w:rsid w:val="000F3450"/>
    <w:rsid w:val="000F3942"/>
    <w:rsid w:val="000F3AC7"/>
    <w:rsid w:val="000F416D"/>
    <w:rsid w:val="000F41CA"/>
    <w:rsid w:val="000F4380"/>
    <w:rsid w:val="000F45C8"/>
    <w:rsid w:val="000F462B"/>
    <w:rsid w:val="000F4B0C"/>
    <w:rsid w:val="000F4C40"/>
    <w:rsid w:val="000F4F51"/>
    <w:rsid w:val="000F5067"/>
    <w:rsid w:val="000F53ED"/>
    <w:rsid w:val="000F55E5"/>
    <w:rsid w:val="000F62DA"/>
    <w:rsid w:val="000F7C74"/>
    <w:rsid w:val="001008B0"/>
    <w:rsid w:val="001009C9"/>
    <w:rsid w:val="00100D98"/>
    <w:rsid w:val="00100FAB"/>
    <w:rsid w:val="00101051"/>
    <w:rsid w:val="00101192"/>
    <w:rsid w:val="001012BA"/>
    <w:rsid w:val="001016EC"/>
    <w:rsid w:val="00101781"/>
    <w:rsid w:val="00101A90"/>
    <w:rsid w:val="00101FE5"/>
    <w:rsid w:val="0010220A"/>
    <w:rsid w:val="00102276"/>
    <w:rsid w:val="001023B3"/>
    <w:rsid w:val="001030E8"/>
    <w:rsid w:val="00103354"/>
    <w:rsid w:val="00103E94"/>
    <w:rsid w:val="00103FCC"/>
    <w:rsid w:val="001043AB"/>
    <w:rsid w:val="001057E4"/>
    <w:rsid w:val="00105C3B"/>
    <w:rsid w:val="00105CC5"/>
    <w:rsid w:val="00105EBF"/>
    <w:rsid w:val="00105FFE"/>
    <w:rsid w:val="001068D2"/>
    <w:rsid w:val="00106902"/>
    <w:rsid w:val="0010690C"/>
    <w:rsid w:val="00106959"/>
    <w:rsid w:val="001069AF"/>
    <w:rsid w:val="00106B8A"/>
    <w:rsid w:val="00106E19"/>
    <w:rsid w:val="00106EF4"/>
    <w:rsid w:val="0010734F"/>
    <w:rsid w:val="00107432"/>
    <w:rsid w:val="00107A66"/>
    <w:rsid w:val="00107B26"/>
    <w:rsid w:val="00107D8A"/>
    <w:rsid w:val="001100B3"/>
    <w:rsid w:val="0011022F"/>
    <w:rsid w:val="00110318"/>
    <w:rsid w:val="001107CB"/>
    <w:rsid w:val="001108D7"/>
    <w:rsid w:val="001111A3"/>
    <w:rsid w:val="00111626"/>
    <w:rsid w:val="00111CC3"/>
    <w:rsid w:val="00111D58"/>
    <w:rsid w:val="00112008"/>
    <w:rsid w:val="00112A52"/>
    <w:rsid w:val="00112EB2"/>
    <w:rsid w:val="00113405"/>
    <w:rsid w:val="00113850"/>
    <w:rsid w:val="00113A1E"/>
    <w:rsid w:val="00113D53"/>
    <w:rsid w:val="00114083"/>
    <w:rsid w:val="0011428C"/>
    <w:rsid w:val="0011429F"/>
    <w:rsid w:val="001142BF"/>
    <w:rsid w:val="001144CE"/>
    <w:rsid w:val="00114548"/>
    <w:rsid w:val="00114555"/>
    <w:rsid w:val="001147A1"/>
    <w:rsid w:val="0011503F"/>
    <w:rsid w:val="00115772"/>
    <w:rsid w:val="00115AE0"/>
    <w:rsid w:val="00116127"/>
    <w:rsid w:val="00116A12"/>
    <w:rsid w:val="00117282"/>
    <w:rsid w:val="001173E1"/>
    <w:rsid w:val="0011743A"/>
    <w:rsid w:val="00117AC8"/>
    <w:rsid w:val="00117DB5"/>
    <w:rsid w:val="001209E8"/>
    <w:rsid w:val="00120BFC"/>
    <w:rsid w:val="00120FEC"/>
    <w:rsid w:val="00121349"/>
    <w:rsid w:val="001214B6"/>
    <w:rsid w:val="0012156D"/>
    <w:rsid w:val="00121649"/>
    <w:rsid w:val="00121A26"/>
    <w:rsid w:val="00121E60"/>
    <w:rsid w:val="00122043"/>
    <w:rsid w:val="0012258B"/>
    <w:rsid w:val="00122981"/>
    <w:rsid w:val="00122F2F"/>
    <w:rsid w:val="00122FDE"/>
    <w:rsid w:val="001234EA"/>
    <w:rsid w:val="0012357F"/>
    <w:rsid w:val="00123CB6"/>
    <w:rsid w:val="00125827"/>
    <w:rsid w:val="00125B34"/>
    <w:rsid w:val="0012614D"/>
    <w:rsid w:val="0012656D"/>
    <w:rsid w:val="00126E0E"/>
    <w:rsid w:val="00126FD5"/>
    <w:rsid w:val="0012716A"/>
    <w:rsid w:val="001273C0"/>
    <w:rsid w:val="00127460"/>
    <w:rsid w:val="0012763E"/>
    <w:rsid w:val="001276C3"/>
    <w:rsid w:val="0012782F"/>
    <w:rsid w:val="0012783A"/>
    <w:rsid w:val="00127D46"/>
    <w:rsid w:val="00127FBD"/>
    <w:rsid w:val="00130BCE"/>
    <w:rsid w:val="00131236"/>
    <w:rsid w:val="001313C1"/>
    <w:rsid w:val="00131669"/>
    <w:rsid w:val="001318FD"/>
    <w:rsid w:val="00131ABF"/>
    <w:rsid w:val="00131D6C"/>
    <w:rsid w:val="00131D79"/>
    <w:rsid w:val="00131F1C"/>
    <w:rsid w:val="0013204A"/>
    <w:rsid w:val="001323BD"/>
    <w:rsid w:val="00132DC4"/>
    <w:rsid w:val="00133083"/>
    <w:rsid w:val="00133625"/>
    <w:rsid w:val="0013422C"/>
    <w:rsid w:val="00134770"/>
    <w:rsid w:val="0013499D"/>
    <w:rsid w:val="00134A1A"/>
    <w:rsid w:val="00135143"/>
    <w:rsid w:val="00135308"/>
    <w:rsid w:val="001359D4"/>
    <w:rsid w:val="00135FB7"/>
    <w:rsid w:val="00136038"/>
    <w:rsid w:val="0013608E"/>
    <w:rsid w:val="00136243"/>
    <w:rsid w:val="00136AA1"/>
    <w:rsid w:val="00136F6F"/>
    <w:rsid w:val="001375AC"/>
    <w:rsid w:val="001401B1"/>
    <w:rsid w:val="001408F3"/>
    <w:rsid w:val="0014119A"/>
    <w:rsid w:val="00141216"/>
    <w:rsid w:val="00141323"/>
    <w:rsid w:val="0014145A"/>
    <w:rsid w:val="00141467"/>
    <w:rsid w:val="0014161C"/>
    <w:rsid w:val="00141CCF"/>
    <w:rsid w:val="00141D10"/>
    <w:rsid w:val="001427D5"/>
    <w:rsid w:val="0014299E"/>
    <w:rsid w:val="00142F42"/>
    <w:rsid w:val="00143321"/>
    <w:rsid w:val="00143517"/>
    <w:rsid w:val="00143578"/>
    <w:rsid w:val="001440DB"/>
    <w:rsid w:val="00144147"/>
    <w:rsid w:val="00144909"/>
    <w:rsid w:val="00144962"/>
    <w:rsid w:val="00144D8F"/>
    <w:rsid w:val="00145433"/>
    <w:rsid w:val="00145AE6"/>
    <w:rsid w:val="0014637C"/>
    <w:rsid w:val="00146B11"/>
    <w:rsid w:val="00146C6D"/>
    <w:rsid w:val="00146E1A"/>
    <w:rsid w:val="001470BF"/>
    <w:rsid w:val="0014747D"/>
    <w:rsid w:val="001479E4"/>
    <w:rsid w:val="00147A6B"/>
    <w:rsid w:val="00147BDC"/>
    <w:rsid w:val="00147BFA"/>
    <w:rsid w:val="00147D82"/>
    <w:rsid w:val="00147F55"/>
    <w:rsid w:val="001500AB"/>
    <w:rsid w:val="001504EE"/>
    <w:rsid w:val="00150748"/>
    <w:rsid w:val="00150E5F"/>
    <w:rsid w:val="001518E9"/>
    <w:rsid w:val="00151A60"/>
    <w:rsid w:val="0015220B"/>
    <w:rsid w:val="00152237"/>
    <w:rsid w:val="0015275F"/>
    <w:rsid w:val="00152BD7"/>
    <w:rsid w:val="00152BDF"/>
    <w:rsid w:val="00153096"/>
    <w:rsid w:val="00153921"/>
    <w:rsid w:val="00153B8C"/>
    <w:rsid w:val="00153D01"/>
    <w:rsid w:val="00154995"/>
    <w:rsid w:val="00154AFD"/>
    <w:rsid w:val="00155161"/>
    <w:rsid w:val="0015532C"/>
    <w:rsid w:val="001554F9"/>
    <w:rsid w:val="0015588D"/>
    <w:rsid w:val="001559F9"/>
    <w:rsid w:val="00155C0B"/>
    <w:rsid w:val="00155DDA"/>
    <w:rsid w:val="001560C9"/>
    <w:rsid w:val="001565F1"/>
    <w:rsid w:val="001574E6"/>
    <w:rsid w:val="00157E39"/>
    <w:rsid w:val="0016015D"/>
    <w:rsid w:val="001604DC"/>
    <w:rsid w:val="001604E9"/>
    <w:rsid w:val="001605C0"/>
    <w:rsid w:val="00160909"/>
    <w:rsid w:val="00160BA5"/>
    <w:rsid w:val="001610AF"/>
    <w:rsid w:val="0016130F"/>
    <w:rsid w:val="001613DC"/>
    <w:rsid w:val="001614F2"/>
    <w:rsid w:val="00161C57"/>
    <w:rsid w:val="001623FA"/>
    <w:rsid w:val="0016259E"/>
    <w:rsid w:val="001628C8"/>
    <w:rsid w:val="00162970"/>
    <w:rsid w:val="0016346E"/>
    <w:rsid w:val="00163B12"/>
    <w:rsid w:val="00163DED"/>
    <w:rsid w:val="0016414B"/>
    <w:rsid w:val="00164250"/>
    <w:rsid w:val="00164331"/>
    <w:rsid w:val="001650AC"/>
    <w:rsid w:val="001650EB"/>
    <w:rsid w:val="0016510F"/>
    <w:rsid w:val="00165B33"/>
    <w:rsid w:val="00165BF3"/>
    <w:rsid w:val="00165C20"/>
    <w:rsid w:val="00166CE0"/>
    <w:rsid w:val="00166E43"/>
    <w:rsid w:val="00166FAB"/>
    <w:rsid w:val="001672FB"/>
    <w:rsid w:val="001674F6"/>
    <w:rsid w:val="00167B5B"/>
    <w:rsid w:val="00167C01"/>
    <w:rsid w:val="001701AC"/>
    <w:rsid w:val="001703DF"/>
    <w:rsid w:val="0017086E"/>
    <w:rsid w:val="001708EB"/>
    <w:rsid w:val="00170E9D"/>
    <w:rsid w:val="00170F9B"/>
    <w:rsid w:val="001718B6"/>
    <w:rsid w:val="0017270D"/>
    <w:rsid w:val="001728DE"/>
    <w:rsid w:val="00173552"/>
    <w:rsid w:val="00173633"/>
    <w:rsid w:val="00173790"/>
    <w:rsid w:val="00173979"/>
    <w:rsid w:val="00174404"/>
    <w:rsid w:val="00174CC9"/>
    <w:rsid w:val="00174F98"/>
    <w:rsid w:val="00175199"/>
    <w:rsid w:val="0017533D"/>
    <w:rsid w:val="001756B6"/>
    <w:rsid w:val="00175806"/>
    <w:rsid w:val="00175DBD"/>
    <w:rsid w:val="001765BE"/>
    <w:rsid w:val="00176A38"/>
    <w:rsid w:val="00177A7B"/>
    <w:rsid w:val="00180370"/>
    <w:rsid w:val="00180579"/>
    <w:rsid w:val="0018117D"/>
    <w:rsid w:val="00181854"/>
    <w:rsid w:val="00181975"/>
    <w:rsid w:val="00181AAA"/>
    <w:rsid w:val="00181AC7"/>
    <w:rsid w:val="00181C79"/>
    <w:rsid w:val="00181E8C"/>
    <w:rsid w:val="0018221E"/>
    <w:rsid w:val="001822D3"/>
    <w:rsid w:val="001826A8"/>
    <w:rsid w:val="00182971"/>
    <w:rsid w:val="00182B79"/>
    <w:rsid w:val="00182E81"/>
    <w:rsid w:val="001832CB"/>
    <w:rsid w:val="001838CB"/>
    <w:rsid w:val="00183B3E"/>
    <w:rsid w:val="00183D01"/>
    <w:rsid w:val="00183EC1"/>
    <w:rsid w:val="00183EF6"/>
    <w:rsid w:val="00184554"/>
    <w:rsid w:val="001846A0"/>
    <w:rsid w:val="00184930"/>
    <w:rsid w:val="0018507E"/>
    <w:rsid w:val="00185191"/>
    <w:rsid w:val="001859F8"/>
    <w:rsid w:val="001864AB"/>
    <w:rsid w:val="00186ACF"/>
    <w:rsid w:val="00186D63"/>
    <w:rsid w:val="00186F1E"/>
    <w:rsid w:val="00190258"/>
    <w:rsid w:val="001906F4"/>
    <w:rsid w:val="00190C51"/>
    <w:rsid w:val="00190FE8"/>
    <w:rsid w:val="00191550"/>
    <w:rsid w:val="00191BA7"/>
    <w:rsid w:val="0019223F"/>
    <w:rsid w:val="00192264"/>
    <w:rsid w:val="001927C6"/>
    <w:rsid w:val="001932CF"/>
    <w:rsid w:val="00193413"/>
    <w:rsid w:val="00193445"/>
    <w:rsid w:val="00193495"/>
    <w:rsid w:val="00193510"/>
    <w:rsid w:val="00193923"/>
    <w:rsid w:val="00193B3F"/>
    <w:rsid w:val="00193F01"/>
    <w:rsid w:val="00195129"/>
    <w:rsid w:val="00195403"/>
    <w:rsid w:val="00196244"/>
    <w:rsid w:val="00196269"/>
    <w:rsid w:val="00196296"/>
    <w:rsid w:val="001965C3"/>
    <w:rsid w:val="0019663D"/>
    <w:rsid w:val="00196B0B"/>
    <w:rsid w:val="00197385"/>
    <w:rsid w:val="00197631"/>
    <w:rsid w:val="001979A1"/>
    <w:rsid w:val="00197C75"/>
    <w:rsid w:val="001A0005"/>
    <w:rsid w:val="001A00C9"/>
    <w:rsid w:val="001A022D"/>
    <w:rsid w:val="001A047F"/>
    <w:rsid w:val="001A06FB"/>
    <w:rsid w:val="001A16C4"/>
    <w:rsid w:val="001A1804"/>
    <w:rsid w:val="001A1C67"/>
    <w:rsid w:val="001A1D21"/>
    <w:rsid w:val="001A1E5E"/>
    <w:rsid w:val="001A20FB"/>
    <w:rsid w:val="001A2E9A"/>
    <w:rsid w:val="001A2EF4"/>
    <w:rsid w:val="001A30CA"/>
    <w:rsid w:val="001A3561"/>
    <w:rsid w:val="001A3807"/>
    <w:rsid w:val="001A3C9A"/>
    <w:rsid w:val="001A3DAA"/>
    <w:rsid w:val="001A4726"/>
    <w:rsid w:val="001A47B1"/>
    <w:rsid w:val="001A4D7B"/>
    <w:rsid w:val="001A5253"/>
    <w:rsid w:val="001A5600"/>
    <w:rsid w:val="001A5694"/>
    <w:rsid w:val="001A639D"/>
    <w:rsid w:val="001A6717"/>
    <w:rsid w:val="001A683F"/>
    <w:rsid w:val="001A6FDA"/>
    <w:rsid w:val="001A708A"/>
    <w:rsid w:val="001A70BA"/>
    <w:rsid w:val="001A7138"/>
    <w:rsid w:val="001A7605"/>
    <w:rsid w:val="001A76BF"/>
    <w:rsid w:val="001A7B54"/>
    <w:rsid w:val="001A7B66"/>
    <w:rsid w:val="001B0B04"/>
    <w:rsid w:val="001B0E18"/>
    <w:rsid w:val="001B0E2C"/>
    <w:rsid w:val="001B1571"/>
    <w:rsid w:val="001B1821"/>
    <w:rsid w:val="001B1E40"/>
    <w:rsid w:val="001B21B7"/>
    <w:rsid w:val="001B285E"/>
    <w:rsid w:val="001B2897"/>
    <w:rsid w:val="001B2958"/>
    <w:rsid w:val="001B29CF"/>
    <w:rsid w:val="001B2B19"/>
    <w:rsid w:val="001B2CE4"/>
    <w:rsid w:val="001B2E72"/>
    <w:rsid w:val="001B3A8F"/>
    <w:rsid w:val="001B3B3A"/>
    <w:rsid w:val="001B3C43"/>
    <w:rsid w:val="001B3E33"/>
    <w:rsid w:val="001B3FE3"/>
    <w:rsid w:val="001B423D"/>
    <w:rsid w:val="001B491E"/>
    <w:rsid w:val="001B4D15"/>
    <w:rsid w:val="001B55B2"/>
    <w:rsid w:val="001B5DE7"/>
    <w:rsid w:val="001B61DF"/>
    <w:rsid w:val="001B631F"/>
    <w:rsid w:val="001B65BA"/>
    <w:rsid w:val="001B65C3"/>
    <w:rsid w:val="001B6A91"/>
    <w:rsid w:val="001B6D43"/>
    <w:rsid w:val="001B6FC4"/>
    <w:rsid w:val="001B71EE"/>
    <w:rsid w:val="001B7969"/>
    <w:rsid w:val="001B7BC8"/>
    <w:rsid w:val="001B7EA5"/>
    <w:rsid w:val="001C0194"/>
    <w:rsid w:val="001C0332"/>
    <w:rsid w:val="001C0450"/>
    <w:rsid w:val="001C0F2D"/>
    <w:rsid w:val="001C0FBC"/>
    <w:rsid w:val="001C176F"/>
    <w:rsid w:val="001C19CB"/>
    <w:rsid w:val="001C1B0B"/>
    <w:rsid w:val="001C1F0C"/>
    <w:rsid w:val="001C29A0"/>
    <w:rsid w:val="001C2DA4"/>
    <w:rsid w:val="001C2E49"/>
    <w:rsid w:val="001C336B"/>
    <w:rsid w:val="001C34B5"/>
    <w:rsid w:val="001C353B"/>
    <w:rsid w:val="001C3561"/>
    <w:rsid w:val="001C3790"/>
    <w:rsid w:val="001C3932"/>
    <w:rsid w:val="001C3AE9"/>
    <w:rsid w:val="001C3C74"/>
    <w:rsid w:val="001C3CED"/>
    <w:rsid w:val="001C3E21"/>
    <w:rsid w:val="001C41AB"/>
    <w:rsid w:val="001C475F"/>
    <w:rsid w:val="001C4E87"/>
    <w:rsid w:val="001C508F"/>
    <w:rsid w:val="001C5217"/>
    <w:rsid w:val="001C54EC"/>
    <w:rsid w:val="001C55F6"/>
    <w:rsid w:val="001C5F1C"/>
    <w:rsid w:val="001C6055"/>
    <w:rsid w:val="001C6301"/>
    <w:rsid w:val="001C677D"/>
    <w:rsid w:val="001C7576"/>
    <w:rsid w:val="001C76CC"/>
    <w:rsid w:val="001C788D"/>
    <w:rsid w:val="001C7C09"/>
    <w:rsid w:val="001C7D68"/>
    <w:rsid w:val="001D0130"/>
    <w:rsid w:val="001D016C"/>
    <w:rsid w:val="001D0440"/>
    <w:rsid w:val="001D0612"/>
    <w:rsid w:val="001D0A7D"/>
    <w:rsid w:val="001D10C0"/>
    <w:rsid w:val="001D1179"/>
    <w:rsid w:val="001D15BA"/>
    <w:rsid w:val="001D17CB"/>
    <w:rsid w:val="001D1A94"/>
    <w:rsid w:val="001D1C90"/>
    <w:rsid w:val="001D1C9B"/>
    <w:rsid w:val="001D1D27"/>
    <w:rsid w:val="001D2C47"/>
    <w:rsid w:val="001D2C62"/>
    <w:rsid w:val="001D2F66"/>
    <w:rsid w:val="001D37C1"/>
    <w:rsid w:val="001D4074"/>
    <w:rsid w:val="001D41AC"/>
    <w:rsid w:val="001D47C7"/>
    <w:rsid w:val="001D4B18"/>
    <w:rsid w:val="001D54E4"/>
    <w:rsid w:val="001D64B0"/>
    <w:rsid w:val="001D6D16"/>
    <w:rsid w:val="001D708B"/>
    <w:rsid w:val="001D73AE"/>
    <w:rsid w:val="001D7418"/>
    <w:rsid w:val="001D758E"/>
    <w:rsid w:val="001E06F3"/>
    <w:rsid w:val="001E0870"/>
    <w:rsid w:val="001E0872"/>
    <w:rsid w:val="001E0EF9"/>
    <w:rsid w:val="001E130A"/>
    <w:rsid w:val="001E13D9"/>
    <w:rsid w:val="001E13DE"/>
    <w:rsid w:val="001E1947"/>
    <w:rsid w:val="001E1AAB"/>
    <w:rsid w:val="001E1FE1"/>
    <w:rsid w:val="001E2C3C"/>
    <w:rsid w:val="001E3041"/>
    <w:rsid w:val="001E331B"/>
    <w:rsid w:val="001E36E3"/>
    <w:rsid w:val="001E390B"/>
    <w:rsid w:val="001E40E6"/>
    <w:rsid w:val="001E4277"/>
    <w:rsid w:val="001E4671"/>
    <w:rsid w:val="001E47B8"/>
    <w:rsid w:val="001E4C02"/>
    <w:rsid w:val="001E4C34"/>
    <w:rsid w:val="001E4D39"/>
    <w:rsid w:val="001E4E3D"/>
    <w:rsid w:val="001E5588"/>
    <w:rsid w:val="001E599B"/>
    <w:rsid w:val="001E5D28"/>
    <w:rsid w:val="001E62DA"/>
    <w:rsid w:val="001E7182"/>
    <w:rsid w:val="001E71BF"/>
    <w:rsid w:val="001E7E64"/>
    <w:rsid w:val="001F05B0"/>
    <w:rsid w:val="001F07B8"/>
    <w:rsid w:val="001F0FAB"/>
    <w:rsid w:val="001F135F"/>
    <w:rsid w:val="001F144F"/>
    <w:rsid w:val="001F1968"/>
    <w:rsid w:val="001F1AB6"/>
    <w:rsid w:val="001F1BB6"/>
    <w:rsid w:val="001F2354"/>
    <w:rsid w:val="001F25FC"/>
    <w:rsid w:val="001F2638"/>
    <w:rsid w:val="001F265E"/>
    <w:rsid w:val="001F2E5B"/>
    <w:rsid w:val="001F3125"/>
    <w:rsid w:val="001F3522"/>
    <w:rsid w:val="001F3668"/>
    <w:rsid w:val="001F3B9A"/>
    <w:rsid w:val="001F3D1E"/>
    <w:rsid w:val="001F43AE"/>
    <w:rsid w:val="001F43F8"/>
    <w:rsid w:val="001F488D"/>
    <w:rsid w:val="001F4E44"/>
    <w:rsid w:val="001F5147"/>
    <w:rsid w:val="001F5A10"/>
    <w:rsid w:val="001F5A3E"/>
    <w:rsid w:val="001F66A7"/>
    <w:rsid w:val="001F67A2"/>
    <w:rsid w:val="001F6B83"/>
    <w:rsid w:val="001F7025"/>
    <w:rsid w:val="001F7159"/>
    <w:rsid w:val="001F71DC"/>
    <w:rsid w:val="001F7309"/>
    <w:rsid w:val="001F742E"/>
    <w:rsid w:val="001F795A"/>
    <w:rsid w:val="001F7B83"/>
    <w:rsid w:val="00200036"/>
    <w:rsid w:val="00200099"/>
    <w:rsid w:val="0020052E"/>
    <w:rsid w:val="002005A3"/>
    <w:rsid w:val="002005AD"/>
    <w:rsid w:val="002006B9"/>
    <w:rsid w:val="002010C5"/>
    <w:rsid w:val="0020110D"/>
    <w:rsid w:val="00201159"/>
    <w:rsid w:val="0020176B"/>
    <w:rsid w:val="002018EA"/>
    <w:rsid w:val="00201941"/>
    <w:rsid w:val="0020195F"/>
    <w:rsid w:val="002019BE"/>
    <w:rsid w:val="002019FF"/>
    <w:rsid w:val="00201C51"/>
    <w:rsid w:val="00201CD8"/>
    <w:rsid w:val="0020227E"/>
    <w:rsid w:val="00202799"/>
    <w:rsid w:val="00203326"/>
    <w:rsid w:val="00203590"/>
    <w:rsid w:val="00203672"/>
    <w:rsid w:val="00203ADF"/>
    <w:rsid w:val="00203C93"/>
    <w:rsid w:val="0020421C"/>
    <w:rsid w:val="002043B3"/>
    <w:rsid w:val="00204580"/>
    <w:rsid w:val="002049C5"/>
    <w:rsid w:val="00204CB3"/>
    <w:rsid w:val="00205055"/>
    <w:rsid w:val="00205BCA"/>
    <w:rsid w:val="0020607F"/>
    <w:rsid w:val="00206722"/>
    <w:rsid w:val="00206BA3"/>
    <w:rsid w:val="00206DBE"/>
    <w:rsid w:val="0020712A"/>
    <w:rsid w:val="002072B5"/>
    <w:rsid w:val="00207811"/>
    <w:rsid w:val="00210490"/>
    <w:rsid w:val="00210821"/>
    <w:rsid w:val="00210ABD"/>
    <w:rsid w:val="00210C50"/>
    <w:rsid w:val="00210CD5"/>
    <w:rsid w:val="00211AE8"/>
    <w:rsid w:val="00211BAD"/>
    <w:rsid w:val="002122CF"/>
    <w:rsid w:val="0021268B"/>
    <w:rsid w:val="002131CF"/>
    <w:rsid w:val="002131FE"/>
    <w:rsid w:val="00213435"/>
    <w:rsid w:val="00213F42"/>
    <w:rsid w:val="0021423B"/>
    <w:rsid w:val="002147BD"/>
    <w:rsid w:val="00214947"/>
    <w:rsid w:val="00214F33"/>
    <w:rsid w:val="00215937"/>
    <w:rsid w:val="0021596A"/>
    <w:rsid w:val="002159F6"/>
    <w:rsid w:val="00216846"/>
    <w:rsid w:val="0021699A"/>
    <w:rsid w:val="00216CDE"/>
    <w:rsid w:val="00216D1A"/>
    <w:rsid w:val="00216E57"/>
    <w:rsid w:val="00216FC2"/>
    <w:rsid w:val="002171B6"/>
    <w:rsid w:val="0021724C"/>
    <w:rsid w:val="002174ED"/>
    <w:rsid w:val="00217A54"/>
    <w:rsid w:val="00217BDC"/>
    <w:rsid w:val="00217D1E"/>
    <w:rsid w:val="0022026B"/>
    <w:rsid w:val="00220281"/>
    <w:rsid w:val="00220447"/>
    <w:rsid w:val="0022065E"/>
    <w:rsid w:val="00220900"/>
    <w:rsid w:val="00220E22"/>
    <w:rsid w:val="002212A3"/>
    <w:rsid w:val="00221375"/>
    <w:rsid w:val="002213CF"/>
    <w:rsid w:val="0022185E"/>
    <w:rsid w:val="00221C1E"/>
    <w:rsid w:val="00221F6A"/>
    <w:rsid w:val="00222047"/>
    <w:rsid w:val="00222182"/>
    <w:rsid w:val="0022242A"/>
    <w:rsid w:val="00222586"/>
    <w:rsid w:val="00222AA5"/>
    <w:rsid w:val="0022319A"/>
    <w:rsid w:val="002240B7"/>
    <w:rsid w:val="00224D47"/>
    <w:rsid w:val="00225339"/>
    <w:rsid w:val="0022594D"/>
    <w:rsid w:val="00225A9A"/>
    <w:rsid w:val="00225C31"/>
    <w:rsid w:val="00225D19"/>
    <w:rsid w:val="002260FB"/>
    <w:rsid w:val="00227028"/>
    <w:rsid w:val="002272A3"/>
    <w:rsid w:val="0022743C"/>
    <w:rsid w:val="00227743"/>
    <w:rsid w:val="002302B8"/>
    <w:rsid w:val="00230328"/>
    <w:rsid w:val="00230397"/>
    <w:rsid w:val="002303FC"/>
    <w:rsid w:val="0023095F"/>
    <w:rsid w:val="00230F64"/>
    <w:rsid w:val="00230F8E"/>
    <w:rsid w:val="002316AF"/>
    <w:rsid w:val="0023226A"/>
    <w:rsid w:val="00232937"/>
    <w:rsid w:val="00233216"/>
    <w:rsid w:val="0023357F"/>
    <w:rsid w:val="002337F8"/>
    <w:rsid w:val="002338A1"/>
    <w:rsid w:val="002338DE"/>
    <w:rsid w:val="00234118"/>
    <w:rsid w:val="00234332"/>
    <w:rsid w:val="0023437E"/>
    <w:rsid w:val="00234738"/>
    <w:rsid w:val="00235297"/>
    <w:rsid w:val="002352FA"/>
    <w:rsid w:val="0023542F"/>
    <w:rsid w:val="00235A61"/>
    <w:rsid w:val="00235C4F"/>
    <w:rsid w:val="00236091"/>
    <w:rsid w:val="00236932"/>
    <w:rsid w:val="00236A70"/>
    <w:rsid w:val="00236E4F"/>
    <w:rsid w:val="0023749B"/>
    <w:rsid w:val="002375A0"/>
    <w:rsid w:val="00237978"/>
    <w:rsid w:val="002400B8"/>
    <w:rsid w:val="00240382"/>
    <w:rsid w:val="0024066A"/>
    <w:rsid w:val="00240BCF"/>
    <w:rsid w:val="002410AF"/>
    <w:rsid w:val="00241428"/>
    <w:rsid w:val="00241496"/>
    <w:rsid w:val="002415CC"/>
    <w:rsid w:val="00241721"/>
    <w:rsid w:val="00241AC2"/>
    <w:rsid w:val="00241DF5"/>
    <w:rsid w:val="00242463"/>
    <w:rsid w:val="00242D1F"/>
    <w:rsid w:val="00242F15"/>
    <w:rsid w:val="00242F33"/>
    <w:rsid w:val="00243641"/>
    <w:rsid w:val="00243DA8"/>
    <w:rsid w:val="0024408C"/>
    <w:rsid w:val="002440D9"/>
    <w:rsid w:val="00244A1B"/>
    <w:rsid w:val="00244E7A"/>
    <w:rsid w:val="002451BB"/>
    <w:rsid w:val="002453DC"/>
    <w:rsid w:val="002455E0"/>
    <w:rsid w:val="002455E8"/>
    <w:rsid w:val="002457E2"/>
    <w:rsid w:val="00245844"/>
    <w:rsid w:val="00245C8D"/>
    <w:rsid w:val="00245D53"/>
    <w:rsid w:val="00245F2A"/>
    <w:rsid w:val="002466EB"/>
    <w:rsid w:val="00246818"/>
    <w:rsid w:val="00246F23"/>
    <w:rsid w:val="002470D4"/>
    <w:rsid w:val="002471A8"/>
    <w:rsid w:val="00247965"/>
    <w:rsid w:val="00250228"/>
    <w:rsid w:val="002505AC"/>
    <w:rsid w:val="002509DF"/>
    <w:rsid w:val="00250EA9"/>
    <w:rsid w:val="00250FD6"/>
    <w:rsid w:val="0025123E"/>
    <w:rsid w:val="0025138D"/>
    <w:rsid w:val="0025146C"/>
    <w:rsid w:val="00251A72"/>
    <w:rsid w:val="00251F21"/>
    <w:rsid w:val="00252321"/>
    <w:rsid w:val="00252357"/>
    <w:rsid w:val="00252883"/>
    <w:rsid w:val="002528E3"/>
    <w:rsid w:val="00252A59"/>
    <w:rsid w:val="00252AFC"/>
    <w:rsid w:val="00252B1C"/>
    <w:rsid w:val="00252F8C"/>
    <w:rsid w:val="00253322"/>
    <w:rsid w:val="00253436"/>
    <w:rsid w:val="00253456"/>
    <w:rsid w:val="00253C9B"/>
    <w:rsid w:val="00253CD8"/>
    <w:rsid w:val="0025508B"/>
    <w:rsid w:val="002551BA"/>
    <w:rsid w:val="00255602"/>
    <w:rsid w:val="00255ADF"/>
    <w:rsid w:val="00255FBE"/>
    <w:rsid w:val="002566E6"/>
    <w:rsid w:val="002569AC"/>
    <w:rsid w:val="002575D9"/>
    <w:rsid w:val="00260DF8"/>
    <w:rsid w:val="0026147D"/>
    <w:rsid w:val="00261640"/>
    <w:rsid w:val="00261B47"/>
    <w:rsid w:val="00261BEE"/>
    <w:rsid w:val="00261DEB"/>
    <w:rsid w:val="002628E1"/>
    <w:rsid w:val="00262E84"/>
    <w:rsid w:val="002630A4"/>
    <w:rsid w:val="00263480"/>
    <w:rsid w:val="002634CC"/>
    <w:rsid w:val="00263E10"/>
    <w:rsid w:val="00263E7C"/>
    <w:rsid w:val="00264074"/>
    <w:rsid w:val="002645AE"/>
    <w:rsid w:val="00264727"/>
    <w:rsid w:val="002647BF"/>
    <w:rsid w:val="00264A75"/>
    <w:rsid w:val="00264DDD"/>
    <w:rsid w:val="00264E6D"/>
    <w:rsid w:val="00265226"/>
    <w:rsid w:val="002658E2"/>
    <w:rsid w:val="00265AE6"/>
    <w:rsid w:val="00265AFF"/>
    <w:rsid w:val="00266132"/>
    <w:rsid w:val="0026632E"/>
    <w:rsid w:val="002663D9"/>
    <w:rsid w:val="00266606"/>
    <w:rsid w:val="002666B9"/>
    <w:rsid w:val="00267193"/>
    <w:rsid w:val="00267786"/>
    <w:rsid w:val="00267974"/>
    <w:rsid w:val="0026799E"/>
    <w:rsid w:val="002700BC"/>
    <w:rsid w:val="002706F9"/>
    <w:rsid w:val="002710C2"/>
    <w:rsid w:val="00271377"/>
    <w:rsid w:val="00271558"/>
    <w:rsid w:val="00271ADE"/>
    <w:rsid w:val="00272A77"/>
    <w:rsid w:val="00272ED5"/>
    <w:rsid w:val="00272F45"/>
    <w:rsid w:val="00273108"/>
    <w:rsid w:val="00273363"/>
    <w:rsid w:val="0027358A"/>
    <w:rsid w:val="002736D5"/>
    <w:rsid w:val="0027445C"/>
    <w:rsid w:val="0027513B"/>
    <w:rsid w:val="00275731"/>
    <w:rsid w:val="00275794"/>
    <w:rsid w:val="00275E3C"/>
    <w:rsid w:val="002760BC"/>
    <w:rsid w:val="0027627E"/>
    <w:rsid w:val="00276784"/>
    <w:rsid w:val="00276BE8"/>
    <w:rsid w:val="00276CEB"/>
    <w:rsid w:val="0027790A"/>
    <w:rsid w:val="0028022D"/>
    <w:rsid w:val="002808AA"/>
    <w:rsid w:val="002809B2"/>
    <w:rsid w:val="002809E9"/>
    <w:rsid w:val="00280D80"/>
    <w:rsid w:val="002813A3"/>
    <w:rsid w:val="002813C1"/>
    <w:rsid w:val="002819CA"/>
    <w:rsid w:val="00281A49"/>
    <w:rsid w:val="00281F88"/>
    <w:rsid w:val="0028215F"/>
    <w:rsid w:val="00282253"/>
    <w:rsid w:val="002824AC"/>
    <w:rsid w:val="0028273D"/>
    <w:rsid w:val="0028289F"/>
    <w:rsid w:val="00282A41"/>
    <w:rsid w:val="0028329E"/>
    <w:rsid w:val="002838A9"/>
    <w:rsid w:val="0028395D"/>
    <w:rsid w:val="00283B3C"/>
    <w:rsid w:val="0028426F"/>
    <w:rsid w:val="00284670"/>
    <w:rsid w:val="00284796"/>
    <w:rsid w:val="00284CEE"/>
    <w:rsid w:val="00284EDF"/>
    <w:rsid w:val="00284EEB"/>
    <w:rsid w:val="0028513C"/>
    <w:rsid w:val="002851AE"/>
    <w:rsid w:val="00285D52"/>
    <w:rsid w:val="00286016"/>
    <w:rsid w:val="002860D8"/>
    <w:rsid w:val="002863BF"/>
    <w:rsid w:val="00286939"/>
    <w:rsid w:val="00286B2D"/>
    <w:rsid w:val="00286D97"/>
    <w:rsid w:val="0028717E"/>
    <w:rsid w:val="00287315"/>
    <w:rsid w:val="0028734C"/>
    <w:rsid w:val="002877F0"/>
    <w:rsid w:val="0029071C"/>
    <w:rsid w:val="0029099A"/>
    <w:rsid w:val="0029111B"/>
    <w:rsid w:val="00291993"/>
    <w:rsid w:val="00291C0B"/>
    <w:rsid w:val="00292383"/>
    <w:rsid w:val="0029270C"/>
    <w:rsid w:val="00292BAC"/>
    <w:rsid w:val="00292CFB"/>
    <w:rsid w:val="00292E79"/>
    <w:rsid w:val="00293196"/>
    <w:rsid w:val="002939FA"/>
    <w:rsid w:val="002947DE"/>
    <w:rsid w:val="002948C9"/>
    <w:rsid w:val="00294990"/>
    <w:rsid w:val="00294A65"/>
    <w:rsid w:val="00294F15"/>
    <w:rsid w:val="00295600"/>
    <w:rsid w:val="002968B3"/>
    <w:rsid w:val="002968F0"/>
    <w:rsid w:val="00296DF9"/>
    <w:rsid w:val="00296E13"/>
    <w:rsid w:val="00296FB9"/>
    <w:rsid w:val="00297B84"/>
    <w:rsid w:val="00297EA1"/>
    <w:rsid w:val="002A0171"/>
    <w:rsid w:val="002A01D5"/>
    <w:rsid w:val="002A052B"/>
    <w:rsid w:val="002A0610"/>
    <w:rsid w:val="002A06CC"/>
    <w:rsid w:val="002A0AB8"/>
    <w:rsid w:val="002A0E66"/>
    <w:rsid w:val="002A10C1"/>
    <w:rsid w:val="002A18F1"/>
    <w:rsid w:val="002A1D2B"/>
    <w:rsid w:val="002A26FE"/>
    <w:rsid w:val="002A3AA8"/>
    <w:rsid w:val="002A3BF2"/>
    <w:rsid w:val="002A4680"/>
    <w:rsid w:val="002A5243"/>
    <w:rsid w:val="002A542E"/>
    <w:rsid w:val="002A5BBD"/>
    <w:rsid w:val="002A60BD"/>
    <w:rsid w:val="002A6112"/>
    <w:rsid w:val="002A67FB"/>
    <w:rsid w:val="002A6968"/>
    <w:rsid w:val="002A6C69"/>
    <w:rsid w:val="002B028C"/>
    <w:rsid w:val="002B07C9"/>
    <w:rsid w:val="002B0811"/>
    <w:rsid w:val="002B0935"/>
    <w:rsid w:val="002B0A77"/>
    <w:rsid w:val="002B0AEE"/>
    <w:rsid w:val="002B209D"/>
    <w:rsid w:val="002B2273"/>
    <w:rsid w:val="002B2594"/>
    <w:rsid w:val="002B2A4F"/>
    <w:rsid w:val="002B2AFD"/>
    <w:rsid w:val="002B2B84"/>
    <w:rsid w:val="002B2D17"/>
    <w:rsid w:val="002B3432"/>
    <w:rsid w:val="002B3A95"/>
    <w:rsid w:val="002B4122"/>
    <w:rsid w:val="002B4EDF"/>
    <w:rsid w:val="002B4F4E"/>
    <w:rsid w:val="002B5BDD"/>
    <w:rsid w:val="002B5C31"/>
    <w:rsid w:val="002B5E54"/>
    <w:rsid w:val="002B5F1D"/>
    <w:rsid w:val="002B6246"/>
    <w:rsid w:val="002B6254"/>
    <w:rsid w:val="002B650E"/>
    <w:rsid w:val="002B670E"/>
    <w:rsid w:val="002B69F7"/>
    <w:rsid w:val="002B6ABF"/>
    <w:rsid w:val="002B6CF8"/>
    <w:rsid w:val="002B716A"/>
    <w:rsid w:val="002B75BA"/>
    <w:rsid w:val="002B762F"/>
    <w:rsid w:val="002B7857"/>
    <w:rsid w:val="002B7931"/>
    <w:rsid w:val="002B7AC2"/>
    <w:rsid w:val="002C0250"/>
    <w:rsid w:val="002C0AB6"/>
    <w:rsid w:val="002C0E86"/>
    <w:rsid w:val="002C0FC5"/>
    <w:rsid w:val="002C10E9"/>
    <w:rsid w:val="002C1DC7"/>
    <w:rsid w:val="002C2027"/>
    <w:rsid w:val="002C2A89"/>
    <w:rsid w:val="002C33C1"/>
    <w:rsid w:val="002C3498"/>
    <w:rsid w:val="002C354E"/>
    <w:rsid w:val="002C3671"/>
    <w:rsid w:val="002C3755"/>
    <w:rsid w:val="002C3925"/>
    <w:rsid w:val="002C3CE3"/>
    <w:rsid w:val="002C43F6"/>
    <w:rsid w:val="002C4AFB"/>
    <w:rsid w:val="002C53CC"/>
    <w:rsid w:val="002C54CB"/>
    <w:rsid w:val="002C5875"/>
    <w:rsid w:val="002C5A51"/>
    <w:rsid w:val="002C6231"/>
    <w:rsid w:val="002C6301"/>
    <w:rsid w:val="002C64A2"/>
    <w:rsid w:val="002C66E8"/>
    <w:rsid w:val="002C76BD"/>
    <w:rsid w:val="002C7D2B"/>
    <w:rsid w:val="002C7FB8"/>
    <w:rsid w:val="002D02BD"/>
    <w:rsid w:val="002D03CF"/>
    <w:rsid w:val="002D05A5"/>
    <w:rsid w:val="002D0BE6"/>
    <w:rsid w:val="002D1182"/>
    <w:rsid w:val="002D1469"/>
    <w:rsid w:val="002D1632"/>
    <w:rsid w:val="002D183E"/>
    <w:rsid w:val="002D1930"/>
    <w:rsid w:val="002D1DB8"/>
    <w:rsid w:val="002D1E9B"/>
    <w:rsid w:val="002D277A"/>
    <w:rsid w:val="002D32C9"/>
    <w:rsid w:val="002D3612"/>
    <w:rsid w:val="002D3E2D"/>
    <w:rsid w:val="002D4191"/>
    <w:rsid w:val="002D4A52"/>
    <w:rsid w:val="002D4A5A"/>
    <w:rsid w:val="002D4AEA"/>
    <w:rsid w:val="002D5151"/>
    <w:rsid w:val="002D5DEA"/>
    <w:rsid w:val="002D5E21"/>
    <w:rsid w:val="002D6182"/>
    <w:rsid w:val="002D655D"/>
    <w:rsid w:val="002D72BD"/>
    <w:rsid w:val="002D7A60"/>
    <w:rsid w:val="002D7AF6"/>
    <w:rsid w:val="002E02F1"/>
    <w:rsid w:val="002E0416"/>
    <w:rsid w:val="002E0465"/>
    <w:rsid w:val="002E057D"/>
    <w:rsid w:val="002E0A4A"/>
    <w:rsid w:val="002E1015"/>
    <w:rsid w:val="002E109C"/>
    <w:rsid w:val="002E1903"/>
    <w:rsid w:val="002E195A"/>
    <w:rsid w:val="002E19AD"/>
    <w:rsid w:val="002E1E22"/>
    <w:rsid w:val="002E2176"/>
    <w:rsid w:val="002E2221"/>
    <w:rsid w:val="002E2298"/>
    <w:rsid w:val="002E2437"/>
    <w:rsid w:val="002E2464"/>
    <w:rsid w:val="002E2F72"/>
    <w:rsid w:val="002E30D7"/>
    <w:rsid w:val="002E350E"/>
    <w:rsid w:val="002E3916"/>
    <w:rsid w:val="002E3C2D"/>
    <w:rsid w:val="002E3F7A"/>
    <w:rsid w:val="002E411E"/>
    <w:rsid w:val="002E4264"/>
    <w:rsid w:val="002E46A5"/>
    <w:rsid w:val="002E47AC"/>
    <w:rsid w:val="002E48EE"/>
    <w:rsid w:val="002E5775"/>
    <w:rsid w:val="002E5C6E"/>
    <w:rsid w:val="002E5DD4"/>
    <w:rsid w:val="002E5F7F"/>
    <w:rsid w:val="002E64F5"/>
    <w:rsid w:val="002E652B"/>
    <w:rsid w:val="002E6828"/>
    <w:rsid w:val="002E7051"/>
    <w:rsid w:val="002E7423"/>
    <w:rsid w:val="002E7729"/>
    <w:rsid w:val="002E7740"/>
    <w:rsid w:val="002E7C22"/>
    <w:rsid w:val="002E7CD6"/>
    <w:rsid w:val="002F0480"/>
    <w:rsid w:val="002F07A8"/>
    <w:rsid w:val="002F1057"/>
    <w:rsid w:val="002F1822"/>
    <w:rsid w:val="002F1A09"/>
    <w:rsid w:val="002F205A"/>
    <w:rsid w:val="002F2E34"/>
    <w:rsid w:val="002F2FB3"/>
    <w:rsid w:val="002F305C"/>
    <w:rsid w:val="002F347E"/>
    <w:rsid w:val="002F3C53"/>
    <w:rsid w:val="002F3C77"/>
    <w:rsid w:val="002F3D03"/>
    <w:rsid w:val="002F4C3B"/>
    <w:rsid w:val="002F4F4A"/>
    <w:rsid w:val="002F516E"/>
    <w:rsid w:val="002F5792"/>
    <w:rsid w:val="002F618C"/>
    <w:rsid w:val="002F6611"/>
    <w:rsid w:val="002F6680"/>
    <w:rsid w:val="002F681E"/>
    <w:rsid w:val="002F6936"/>
    <w:rsid w:val="002F6BD4"/>
    <w:rsid w:val="002F6E28"/>
    <w:rsid w:val="002F7F6F"/>
    <w:rsid w:val="003000C2"/>
    <w:rsid w:val="003001FC"/>
    <w:rsid w:val="003007BE"/>
    <w:rsid w:val="003009C9"/>
    <w:rsid w:val="00300A50"/>
    <w:rsid w:val="00300F2D"/>
    <w:rsid w:val="00301918"/>
    <w:rsid w:val="00301F9F"/>
    <w:rsid w:val="00302462"/>
    <w:rsid w:val="00302603"/>
    <w:rsid w:val="00302799"/>
    <w:rsid w:val="00302C7A"/>
    <w:rsid w:val="00302EF9"/>
    <w:rsid w:val="00303045"/>
    <w:rsid w:val="00303418"/>
    <w:rsid w:val="00303787"/>
    <w:rsid w:val="00303B1F"/>
    <w:rsid w:val="00304483"/>
    <w:rsid w:val="003044D2"/>
    <w:rsid w:val="00304996"/>
    <w:rsid w:val="00304B36"/>
    <w:rsid w:val="00304DA3"/>
    <w:rsid w:val="003053E3"/>
    <w:rsid w:val="00305645"/>
    <w:rsid w:val="00305FA4"/>
    <w:rsid w:val="003065D6"/>
    <w:rsid w:val="0030676A"/>
    <w:rsid w:val="00306802"/>
    <w:rsid w:val="0030707B"/>
    <w:rsid w:val="00307581"/>
    <w:rsid w:val="0030772A"/>
    <w:rsid w:val="00307D21"/>
    <w:rsid w:val="00310612"/>
    <w:rsid w:val="0031062A"/>
    <w:rsid w:val="003106CB"/>
    <w:rsid w:val="003106F1"/>
    <w:rsid w:val="003109BC"/>
    <w:rsid w:val="00310F0E"/>
    <w:rsid w:val="00311363"/>
    <w:rsid w:val="0031152E"/>
    <w:rsid w:val="00311ADD"/>
    <w:rsid w:val="00311B57"/>
    <w:rsid w:val="00311D47"/>
    <w:rsid w:val="00311ED5"/>
    <w:rsid w:val="00312188"/>
    <w:rsid w:val="00312323"/>
    <w:rsid w:val="00312585"/>
    <w:rsid w:val="003126A5"/>
    <w:rsid w:val="00313249"/>
    <w:rsid w:val="00313E10"/>
    <w:rsid w:val="00313EDC"/>
    <w:rsid w:val="00314383"/>
    <w:rsid w:val="003143B8"/>
    <w:rsid w:val="00314634"/>
    <w:rsid w:val="00314AB0"/>
    <w:rsid w:val="0031577B"/>
    <w:rsid w:val="003158EF"/>
    <w:rsid w:val="00315AD7"/>
    <w:rsid w:val="00315B6E"/>
    <w:rsid w:val="00316242"/>
    <w:rsid w:val="00316717"/>
    <w:rsid w:val="00316886"/>
    <w:rsid w:val="0031721F"/>
    <w:rsid w:val="00317A17"/>
    <w:rsid w:val="00317D72"/>
    <w:rsid w:val="00320553"/>
    <w:rsid w:val="0032077E"/>
    <w:rsid w:val="00320840"/>
    <w:rsid w:val="00320DA0"/>
    <w:rsid w:val="0032156A"/>
    <w:rsid w:val="0032176C"/>
    <w:rsid w:val="00321B3B"/>
    <w:rsid w:val="0032216F"/>
    <w:rsid w:val="0032255F"/>
    <w:rsid w:val="003227AE"/>
    <w:rsid w:val="00322CC5"/>
    <w:rsid w:val="00323314"/>
    <w:rsid w:val="00323933"/>
    <w:rsid w:val="00323E4D"/>
    <w:rsid w:val="003241D8"/>
    <w:rsid w:val="00324705"/>
    <w:rsid w:val="0032477A"/>
    <w:rsid w:val="00324F52"/>
    <w:rsid w:val="00324F54"/>
    <w:rsid w:val="0032588B"/>
    <w:rsid w:val="0032598F"/>
    <w:rsid w:val="00325B1D"/>
    <w:rsid w:val="00325C52"/>
    <w:rsid w:val="00325EC5"/>
    <w:rsid w:val="003261F5"/>
    <w:rsid w:val="00326351"/>
    <w:rsid w:val="00326941"/>
    <w:rsid w:val="00326E3A"/>
    <w:rsid w:val="00327094"/>
    <w:rsid w:val="0032780C"/>
    <w:rsid w:val="00327CC2"/>
    <w:rsid w:val="00327E36"/>
    <w:rsid w:val="00327EE2"/>
    <w:rsid w:val="00327FA6"/>
    <w:rsid w:val="003305EF"/>
    <w:rsid w:val="00330C82"/>
    <w:rsid w:val="003311EF"/>
    <w:rsid w:val="003317F8"/>
    <w:rsid w:val="0033184E"/>
    <w:rsid w:val="003319E8"/>
    <w:rsid w:val="00331A35"/>
    <w:rsid w:val="00331C19"/>
    <w:rsid w:val="00331C4B"/>
    <w:rsid w:val="00331C73"/>
    <w:rsid w:val="00332771"/>
    <w:rsid w:val="00332B04"/>
    <w:rsid w:val="00332E4E"/>
    <w:rsid w:val="00333574"/>
    <w:rsid w:val="003335C7"/>
    <w:rsid w:val="00333809"/>
    <w:rsid w:val="00333816"/>
    <w:rsid w:val="003338F1"/>
    <w:rsid w:val="00333A07"/>
    <w:rsid w:val="00333F4D"/>
    <w:rsid w:val="00334162"/>
    <w:rsid w:val="00334706"/>
    <w:rsid w:val="00334AA6"/>
    <w:rsid w:val="00334CD5"/>
    <w:rsid w:val="003350CA"/>
    <w:rsid w:val="0033522F"/>
    <w:rsid w:val="003359FE"/>
    <w:rsid w:val="00335AE0"/>
    <w:rsid w:val="00335BDB"/>
    <w:rsid w:val="00336604"/>
    <w:rsid w:val="00336927"/>
    <w:rsid w:val="00336EDF"/>
    <w:rsid w:val="00337496"/>
    <w:rsid w:val="003375C1"/>
    <w:rsid w:val="00340390"/>
    <w:rsid w:val="0034043A"/>
    <w:rsid w:val="00340808"/>
    <w:rsid w:val="00340BFE"/>
    <w:rsid w:val="00340E13"/>
    <w:rsid w:val="00340EF6"/>
    <w:rsid w:val="00341058"/>
    <w:rsid w:val="00341B50"/>
    <w:rsid w:val="00342CC7"/>
    <w:rsid w:val="0034386E"/>
    <w:rsid w:val="00343934"/>
    <w:rsid w:val="00343A1D"/>
    <w:rsid w:val="00343A8A"/>
    <w:rsid w:val="00343F0F"/>
    <w:rsid w:val="00344278"/>
    <w:rsid w:val="003442AD"/>
    <w:rsid w:val="00344B31"/>
    <w:rsid w:val="00344C7C"/>
    <w:rsid w:val="003454E3"/>
    <w:rsid w:val="003455A3"/>
    <w:rsid w:val="003465C8"/>
    <w:rsid w:val="003466CC"/>
    <w:rsid w:val="00346705"/>
    <w:rsid w:val="0034678A"/>
    <w:rsid w:val="00347127"/>
    <w:rsid w:val="00347243"/>
    <w:rsid w:val="00347377"/>
    <w:rsid w:val="0034753C"/>
    <w:rsid w:val="003478C9"/>
    <w:rsid w:val="003500A5"/>
    <w:rsid w:val="0035054D"/>
    <w:rsid w:val="00350667"/>
    <w:rsid w:val="0035070F"/>
    <w:rsid w:val="00350BBA"/>
    <w:rsid w:val="003512CC"/>
    <w:rsid w:val="00351EDC"/>
    <w:rsid w:val="00352045"/>
    <w:rsid w:val="00352071"/>
    <w:rsid w:val="00352C6C"/>
    <w:rsid w:val="00352D70"/>
    <w:rsid w:val="00353B7E"/>
    <w:rsid w:val="00353F26"/>
    <w:rsid w:val="003541D8"/>
    <w:rsid w:val="00354481"/>
    <w:rsid w:val="0035458C"/>
    <w:rsid w:val="00354782"/>
    <w:rsid w:val="003548CB"/>
    <w:rsid w:val="00355113"/>
    <w:rsid w:val="00355234"/>
    <w:rsid w:val="00355337"/>
    <w:rsid w:val="003554AC"/>
    <w:rsid w:val="00355C36"/>
    <w:rsid w:val="00356E54"/>
    <w:rsid w:val="00356F7F"/>
    <w:rsid w:val="00357B90"/>
    <w:rsid w:val="00357F5B"/>
    <w:rsid w:val="003602DE"/>
    <w:rsid w:val="003605B6"/>
    <w:rsid w:val="0036069F"/>
    <w:rsid w:val="00360724"/>
    <w:rsid w:val="00361010"/>
    <w:rsid w:val="003612E9"/>
    <w:rsid w:val="0036217B"/>
    <w:rsid w:val="00362350"/>
    <w:rsid w:val="00362357"/>
    <w:rsid w:val="00362475"/>
    <w:rsid w:val="003624FC"/>
    <w:rsid w:val="003634DA"/>
    <w:rsid w:val="0036359B"/>
    <w:rsid w:val="003635F0"/>
    <w:rsid w:val="00363794"/>
    <w:rsid w:val="00363B4C"/>
    <w:rsid w:val="00364296"/>
    <w:rsid w:val="00364844"/>
    <w:rsid w:val="00364B13"/>
    <w:rsid w:val="00364C17"/>
    <w:rsid w:val="0036526D"/>
    <w:rsid w:val="00365DDD"/>
    <w:rsid w:val="00365DF5"/>
    <w:rsid w:val="003662A2"/>
    <w:rsid w:val="003664F5"/>
    <w:rsid w:val="00366C94"/>
    <w:rsid w:val="00366E5D"/>
    <w:rsid w:val="00366F3F"/>
    <w:rsid w:val="00367005"/>
    <w:rsid w:val="00367118"/>
    <w:rsid w:val="003673A2"/>
    <w:rsid w:val="00370528"/>
    <w:rsid w:val="00370653"/>
    <w:rsid w:val="00370859"/>
    <w:rsid w:val="003710C8"/>
    <w:rsid w:val="00371737"/>
    <w:rsid w:val="0037183F"/>
    <w:rsid w:val="00371944"/>
    <w:rsid w:val="00371AAA"/>
    <w:rsid w:val="00371AEC"/>
    <w:rsid w:val="00372246"/>
    <w:rsid w:val="0037237D"/>
    <w:rsid w:val="00372693"/>
    <w:rsid w:val="003733A3"/>
    <w:rsid w:val="003743AA"/>
    <w:rsid w:val="00374654"/>
    <w:rsid w:val="00374C59"/>
    <w:rsid w:val="00374E30"/>
    <w:rsid w:val="00374E67"/>
    <w:rsid w:val="003754BA"/>
    <w:rsid w:val="00375624"/>
    <w:rsid w:val="0037584B"/>
    <w:rsid w:val="003759A1"/>
    <w:rsid w:val="00375BE9"/>
    <w:rsid w:val="00375D21"/>
    <w:rsid w:val="00375EF5"/>
    <w:rsid w:val="003761C4"/>
    <w:rsid w:val="003761DC"/>
    <w:rsid w:val="003766BD"/>
    <w:rsid w:val="0037674D"/>
    <w:rsid w:val="00376852"/>
    <w:rsid w:val="00376E3F"/>
    <w:rsid w:val="00376EE6"/>
    <w:rsid w:val="00377705"/>
    <w:rsid w:val="00377A1F"/>
    <w:rsid w:val="00377F83"/>
    <w:rsid w:val="0038019E"/>
    <w:rsid w:val="00380981"/>
    <w:rsid w:val="003813F7"/>
    <w:rsid w:val="00381684"/>
    <w:rsid w:val="00381D89"/>
    <w:rsid w:val="003824AD"/>
    <w:rsid w:val="00382989"/>
    <w:rsid w:val="00382A50"/>
    <w:rsid w:val="00382B21"/>
    <w:rsid w:val="00382B46"/>
    <w:rsid w:val="00382C9E"/>
    <w:rsid w:val="003830D3"/>
    <w:rsid w:val="003831D5"/>
    <w:rsid w:val="00383208"/>
    <w:rsid w:val="003838A1"/>
    <w:rsid w:val="00383E04"/>
    <w:rsid w:val="00384C6A"/>
    <w:rsid w:val="003851C7"/>
    <w:rsid w:val="00385368"/>
    <w:rsid w:val="00385B57"/>
    <w:rsid w:val="0038658E"/>
    <w:rsid w:val="00386BFA"/>
    <w:rsid w:val="00386DDA"/>
    <w:rsid w:val="00387A2B"/>
    <w:rsid w:val="00390300"/>
    <w:rsid w:val="00390510"/>
    <w:rsid w:val="0039062D"/>
    <w:rsid w:val="00390BB4"/>
    <w:rsid w:val="003911A5"/>
    <w:rsid w:val="003920EF"/>
    <w:rsid w:val="00392346"/>
    <w:rsid w:val="0039268D"/>
    <w:rsid w:val="003929E6"/>
    <w:rsid w:val="00392BBE"/>
    <w:rsid w:val="003936E8"/>
    <w:rsid w:val="00393787"/>
    <w:rsid w:val="00393D7D"/>
    <w:rsid w:val="00393F94"/>
    <w:rsid w:val="00394899"/>
    <w:rsid w:val="0039545B"/>
    <w:rsid w:val="00395462"/>
    <w:rsid w:val="0039579C"/>
    <w:rsid w:val="00395898"/>
    <w:rsid w:val="00395AB7"/>
    <w:rsid w:val="00395C0B"/>
    <w:rsid w:val="0039614C"/>
    <w:rsid w:val="00396168"/>
    <w:rsid w:val="003961B8"/>
    <w:rsid w:val="00396614"/>
    <w:rsid w:val="00396AB1"/>
    <w:rsid w:val="00396E32"/>
    <w:rsid w:val="00396F2A"/>
    <w:rsid w:val="00396FC2"/>
    <w:rsid w:val="003971A6"/>
    <w:rsid w:val="00397206"/>
    <w:rsid w:val="00397230"/>
    <w:rsid w:val="00397A1D"/>
    <w:rsid w:val="00397CEC"/>
    <w:rsid w:val="00397F09"/>
    <w:rsid w:val="003A02BE"/>
    <w:rsid w:val="003A0357"/>
    <w:rsid w:val="003A08F6"/>
    <w:rsid w:val="003A13BA"/>
    <w:rsid w:val="003A140D"/>
    <w:rsid w:val="003A14EF"/>
    <w:rsid w:val="003A17BD"/>
    <w:rsid w:val="003A19AB"/>
    <w:rsid w:val="003A1DF7"/>
    <w:rsid w:val="003A25B8"/>
    <w:rsid w:val="003A2A84"/>
    <w:rsid w:val="003A2B85"/>
    <w:rsid w:val="003A2C48"/>
    <w:rsid w:val="003A3942"/>
    <w:rsid w:val="003A3AEC"/>
    <w:rsid w:val="003A41E2"/>
    <w:rsid w:val="003A467D"/>
    <w:rsid w:val="003A4763"/>
    <w:rsid w:val="003A57D6"/>
    <w:rsid w:val="003A5918"/>
    <w:rsid w:val="003A63A8"/>
    <w:rsid w:val="003A6C1D"/>
    <w:rsid w:val="003A75FE"/>
    <w:rsid w:val="003A78F3"/>
    <w:rsid w:val="003A7E35"/>
    <w:rsid w:val="003B0400"/>
    <w:rsid w:val="003B157E"/>
    <w:rsid w:val="003B20FE"/>
    <w:rsid w:val="003B2441"/>
    <w:rsid w:val="003B25FA"/>
    <w:rsid w:val="003B270F"/>
    <w:rsid w:val="003B2B5C"/>
    <w:rsid w:val="003B2F87"/>
    <w:rsid w:val="003B3195"/>
    <w:rsid w:val="003B3287"/>
    <w:rsid w:val="003B3973"/>
    <w:rsid w:val="003B3BE5"/>
    <w:rsid w:val="003B4217"/>
    <w:rsid w:val="003B4D0B"/>
    <w:rsid w:val="003B4FD2"/>
    <w:rsid w:val="003B53AC"/>
    <w:rsid w:val="003B560F"/>
    <w:rsid w:val="003B5FF2"/>
    <w:rsid w:val="003B6399"/>
    <w:rsid w:val="003B671B"/>
    <w:rsid w:val="003B729A"/>
    <w:rsid w:val="003B740C"/>
    <w:rsid w:val="003B79DC"/>
    <w:rsid w:val="003C0D6A"/>
    <w:rsid w:val="003C0D7B"/>
    <w:rsid w:val="003C0FB9"/>
    <w:rsid w:val="003C168C"/>
    <w:rsid w:val="003C209A"/>
    <w:rsid w:val="003C20E0"/>
    <w:rsid w:val="003C22A4"/>
    <w:rsid w:val="003C2DD3"/>
    <w:rsid w:val="003C303F"/>
    <w:rsid w:val="003C338B"/>
    <w:rsid w:val="003C37F1"/>
    <w:rsid w:val="003C3951"/>
    <w:rsid w:val="003C3DE1"/>
    <w:rsid w:val="003C3E6F"/>
    <w:rsid w:val="003C3F8E"/>
    <w:rsid w:val="003C4117"/>
    <w:rsid w:val="003C4571"/>
    <w:rsid w:val="003C468B"/>
    <w:rsid w:val="003C4D70"/>
    <w:rsid w:val="003C51D3"/>
    <w:rsid w:val="003C5975"/>
    <w:rsid w:val="003C5B61"/>
    <w:rsid w:val="003C62F4"/>
    <w:rsid w:val="003C64FF"/>
    <w:rsid w:val="003C6C1F"/>
    <w:rsid w:val="003C6CB9"/>
    <w:rsid w:val="003C73FF"/>
    <w:rsid w:val="003C768A"/>
    <w:rsid w:val="003C773C"/>
    <w:rsid w:val="003C7991"/>
    <w:rsid w:val="003C7A27"/>
    <w:rsid w:val="003D050C"/>
    <w:rsid w:val="003D0556"/>
    <w:rsid w:val="003D0804"/>
    <w:rsid w:val="003D0F79"/>
    <w:rsid w:val="003D0F82"/>
    <w:rsid w:val="003D0FCA"/>
    <w:rsid w:val="003D1490"/>
    <w:rsid w:val="003D155B"/>
    <w:rsid w:val="003D1930"/>
    <w:rsid w:val="003D1BE4"/>
    <w:rsid w:val="003D1F3C"/>
    <w:rsid w:val="003D234D"/>
    <w:rsid w:val="003D2700"/>
    <w:rsid w:val="003D28AC"/>
    <w:rsid w:val="003D28F5"/>
    <w:rsid w:val="003D2ABD"/>
    <w:rsid w:val="003D2D1B"/>
    <w:rsid w:val="003D325F"/>
    <w:rsid w:val="003D3511"/>
    <w:rsid w:val="003D3E06"/>
    <w:rsid w:val="003D403A"/>
    <w:rsid w:val="003D413C"/>
    <w:rsid w:val="003D4319"/>
    <w:rsid w:val="003D4548"/>
    <w:rsid w:val="003D4587"/>
    <w:rsid w:val="003D48A2"/>
    <w:rsid w:val="003D5A8D"/>
    <w:rsid w:val="003D5B0E"/>
    <w:rsid w:val="003D5F76"/>
    <w:rsid w:val="003D6170"/>
    <w:rsid w:val="003D65BF"/>
    <w:rsid w:val="003D66A2"/>
    <w:rsid w:val="003D6732"/>
    <w:rsid w:val="003D6D91"/>
    <w:rsid w:val="003D6E1C"/>
    <w:rsid w:val="003D7250"/>
    <w:rsid w:val="003D76EE"/>
    <w:rsid w:val="003D7B4C"/>
    <w:rsid w:val="003D7BBB"/>
    <w:rsid w:val="003E0381"/>
    <w:rsid w:val="003E0CA9"/>
    <w:rsid w:val="003E0E2C"/>
    <w:rsid w:val="003E1454"/>
    <w:rsid w:val="003E164A"/>
    <w:rsid w:val="003E1A9F"/>
    <w:rsid w:val="003E1EE8"/>
    <w:rsid w:val="003E25B5"/>
    <w:rsid w:val="003E2AD9"/>
    <w:rsid w:val="003E2DB7"/>
    <w:rsid w:val="003E3101"/>
    <w:rsid w:val="003E32DE"/>
    <w:rsid w:val="003E3472"/>
    <w:rsid w:val="003E3E25"/>
    <w:rsid w:val="003E43D0"/>
    <w:rsid w:val="003E476E"/>
    <w:rsid w:val="003E4789"/>
    <w:rsid w:val="003E49B2"/>
    <w:rsid w:val="003E4C9D"/>
    <w:rsid w:val="003E4FCD"/>
    <w:rsid w:val="003E5859"/>
    <w:rsid w:val="003E65B3"/>
    <w:rsid w:val="003E676B"/>
    <w:rsid w:val="003E68AD"/>
    <w:rsid w:val="003E68AE"/>
    <w:rsid w:val="003E69D1"/>
    <w:rsid w:val="003E6A0B"/>
    <w:rsid w:val="003E727F"/>
    <w:rsid w:val="003E788D"/>
    <w:rsid w:val="003E7939"/>
    <w:rsid w:val="003F0A79"/>
    <w:rsid w:val="003F1084"/>
    <w:rsid w:val="003F1414"/>
    <w:rsid w:val="003F1653"/>
    <w:rsid w:val="003F2171"/>
    <w:rsid w:val="003F23E7"/>
    <w:rsid w:val="003F27C8"/>
    <w:rsid w:val="003F28D0"/>
    <w:rsid w:val="003F2ABD"/>
    <w:rsid w:val="003F2F4E"/>
    <w:rsid w:val="003F33E4"/>
    <w:rsid w:val="003F35BF"/>
    <w:rsid w:val="003F3C0F"/>
    <w:rsid w:val="003F400E"/>
    <w:rsid w:val="003F40EE"/>
    <w:rsid w:val="003F4638"/>
    <w:rsid w:val="003F46D5"/>
    <w:rsid w:val="003F5196"/>
    <w:rsid w:val="003F57B2"/>
    <w:rsid w:val="003F5841"/>
    <w:rsid w:val="003F5885"/>
    <w:rsid w:val="003F58C5"/>
    <w:rsid w:val="003F5B5D"/>
    <w:rsid w:val="003F5C24"/>
    <w:rsid w:val="003F66D7"/>
    <w:rsid w:val="003F6C74"/>
    <w:rsid w:val="004007E5"/>
    <w:rsid w:val="0040274D"/>
    <w:rsid w:val="0040363B"/>
    <w:rsid w:val="0040414E"/>
    <w:rsid w:val="004045E7"/>
    <w:rsid w:val="00404BAB"/>
    <w:rsid w:val="00404F5A"/>
    <w:rsid w:val="004052A0"/>
    <w:rsid w:val="004056FD"/>
    <w:rsid w:val="00405C8E"/>
    <w:rsid w:val="00406104"/>
    <w:rsid w:val="0040617B"/>
    <w:rsid w:val="00406A74"/>
    <w:rsid w:val="0040700A"/>
    <w:rsid w:val="004075D9"/>
    <w:rsid w:val="00407755"/>
    <w:rsid w:val="004077AD"/>
    <w:rsid w:val="00407A1A"/>
    <w:rsid w:val="00407A1B"/>
    <w:rsid w:val="0041001E"/>
    <w:rsid w:val="00410667"/>
    <w:rsid w:val="004108BE"/>
    <w:rsid w:val="00410A50"/>
    <w:rsid w:val="00410DF4"/>
    <w:rsid w:val="00410F6A"/>
    <w:rsid w:val="0041109B"/>
    <w:rsid w:val="004120BB"/>
    <w:rsid w:val="004124EB"/>
    <w:rsid w:val="004126B1"/>
    <w:rsid w:val="0041280E"/>
    <w:rsid w:val="0041288C"/>
    <w:rsid w:val="004131F7"/>
    <w:rsid w:val="004133BB"/>
    <w:rsid w:val="00413B57"/>
    <w:rsid w:val="00413D75"/>
    <w:rsid w:val="00414C97"/>
    <w:rsid w:val="004154AF"/>
    <w:rsid w:val="004157B9"/>
    <w:rsid w:val="00415CAA"/>
    <w:rsid w:val="00416235"/>
    <w:rsid w:val="004162C4"/>
    <w:rsid w:val="0041677B"/>
    <w:rsid w:val="00416C7D"/>
    <w:rsid w:val="00416DC0"/>
    <w:rsid w:val="00417111"/>
    <w:rsid w:val="00417996"/>
    <w:rsid w:val="00417DA6"/>
    <w:rsid w:val="0042015D"/>
    <w:rsid w:val="00420177"/>
    <w:rsid w:val="00420A63"/>
    <w:rsid w:val="004211BD"/>
    <w:rsid w:val="00421AD9"/>
    <w:rsid w:val="0042275D"/>
    <w:rsid w:val="00422853"/>
    <w:rsid w:val="00422DD8"/>
    <w:rsid w:val="004234D4"/>
    <w:rsid w:val="004243BB"/>
    <w:rsid w:val="00424B94"/>
    <w:rsid w:val="00424BD7"/>
    <w:rsid w:val="00424DF0"/>
    <w:rsid w:val="0042558D"/>
    <w:rsid w:val="0042579B"/>
    <w:rsid w:val="00425C8B"/>
    <w:rsid w:val="00425DBD"/>
    <w:rsid w:val="00425F4B"/>
    <w:rsid w:val="00425F77"/>
    <w:rsid w:val="004273D9"/>
    <w:rsid w:val="00427475"/>
    <w:rsid w:val="004279D0"/>
    <w:rsid w:val="00427E17"/>
    <w:rsid w:val="0043002D"/>
    <w:rsid w:val="00430041"/>
    <w:rsid w:val="00430577"/>
    <w:rsid w:val="00430964"/>
    <w:rsid w:val="00430BA3"/>
    <w:rsid w:val="00430EDB"/>
    <w:rsid w:val="0043129A"/>
    <w:rsid w:val="00431A01"/>
    <w:rsid w:val="00431B05"/>
    <w:rsid w:val="00432062"/>
    <w:rsid w:val="0043246F"/>
    <w:rsid w:val="0043288B"/>
    <w:rsid w:val="004329D0"/>
    <w:rsid w:val="00432D8D"/>
    <w:rsid w:val="00432E87"/>
    <w:rsid w:val="00433001"/>
    <w:rsid w:val="00433182"/>
    <w:rsid w:val="00433722"/>
    <w:rsid w:val="00434617"/>
    <w:rsid w:val="00434E60"/>
    <w:rsid w:val="004350ED"/>
    <w:rsid w:val="00435292"/>
    <w:rsid w:val="0043576E"/>
    <w:rsid w:val="00435F33"/>
    <w:rsid w:val="00436102"/>
    <w:rsid w:val="00436454"/>
    <w:rsid w:val="00436764"/>
    <w:rsid w:val="0043680B"/>
    <w:rsid w:val="00436BD7"/>
    <w:rsid w:val="00436F10"/>
    <w:rsid w:val="00436F48"/>
    <w:rsid w:val="00437373"/>
    <w:rsid w:val="004373C4"/>
    <w:rsid w:val="004373CD"/>
    <w:rsid w:val="00437623"/>
    <w:rsid w:val="00437689"/>
    <w:rsid w:val="004379E2"/>
    <w:rsid w:val="00437CFD"/>
    <w:rsid w:val="00437FE6"/>
    <w:rsid w:val="0044019B"/>
    <w:rsid w:val="00440298"/>
    <w:rsid w:val="004408B9"/>
    <w:rsid w:val="004414AF"/>
    <w:rsid w:val="0044196F"/>
    <w:rsid w:val="004419E8"/>
    <w:rsid w:val="00441B77"/>
    <w:rsid w:val="00441BDC"/>
    <w:rsid w:val="00442A6C"/>
    <w:rsid w:val="00442D18"/>
    <w:rsid w:val="00442DAB"/>
    <w:rsid w:val="00443283"/>
    <w:rsid w:val="00443756"/>
    <w:rsid w:val="00443BD2"/>
    <w:rsid w:val="00443E20"/>
    <w:rsid w:val="00444039"/>
    <w:rsid w:val="00444411"/>
    <w:rsid w:val="00444437"/>
    <w:rsid w:val="004447FF"/>
    <w:rsid w:val="00444BDC"/>
    <w:rsid w:val="00445193"/>
    <w:rsid w:val="004451B4"/>
    <w:rsid w:val="00445208"/>
    <w:rsid w:val="004458B3"/>
    <w:rsid w:val="0044655A"/>
    <w:rsid w:val="00446643"/>
    <w:rsid w:val="00446B88"/>
    <w:rsid w:val="00447330"/>
    <w:rsid w:val="0045002E"/>
    <w:rsid w:val="004506E9"/>
    <w:rsid w:val="00450CCE"/>
    <w:rsid w:val="00450EC8"/>
    <w:rsid w:val="00451681"/>
    <w:rsid w:val="00451979"/>
    <w:rsid w:val="00451AF6"/>
    <w:rsid w:val="00451C80"/>
    <w:rsid w:val="004522AC"/>
    <w:rsid w:val="004522D4"/>
    <w:rsid w:val="00452456"/>
    <w:rsid w:val="004535BC"/>
    <w:rsid w:val="0045361E"/>
    <w:rsid w:val="0045367B"/>
    <w:rsid w:val="004537B4"/>
    <w:rsid w:val="00453A06"/>
    <w:rsid w:val="004544F8"/>
    <w:rsid w:val="00454793"/>
    <w:rsid w:val="0045490A"/>
    <w:rsid w:val="00454B88"/>
    <w:rsid w:val="00454D56"/>
    <w:rsid w:val="00454D9F"/>
    <w:rsid w:val="00455081"/>
    <w:rsid w:val="004550B7"/>
    <w:rsid w:val="004552FA"/>
    <w:rsid w:val="0045598B"/>
    <w:rsid w:val="00455AE9"/>
    <w:rsid w:val="00455B24"/>
    <w:rsid w:val="00455FE9"/>
    <w:rsid w:val="00456466"/>
    <w:rsid w:val="00456A81"/>
    <w:rsid w:val="00456AB1"/>
    <w:rsid w:val="00456B1A"/>
    <w:rsid w:val="00456C7B"/>
    <w:rsid w:val="00456E42"/>
    <w:rsid w:val="00457245"/>
    <w:rsid w:val="00457589"/>
    <w:rsid w:val="0045778C"/>
    <w:rsid w:val="004577CB"/>
    <w:rsid w:val="004579E2"/>
    <w:rsid w:val="00457B47"/>
    <w:rsid w:val="00457E5B"/>
    <w:rsid w:val="00457F7F"/>
    <w:rsid w:val="00460403"/>
    <w:rsid w:val="00460C05"/>
    <w:rsid w:val="00461398"/>
    <w:rsid w:val="00461431"/>
    <w:rsid w:val="00462865"/>
    <w:rsid w:val="0046297C"/>
    <w:rsid w:val="00462B8F"/>
    <w:rsid w:val="00462D58"/>
    <w:rsid w:val="00463382"/>
    <w:rsid w:val="00463E5D"/>
    <w:rsid w:val="00463F27"/>
    <w:rsid w:val="00464708"/>
    <w:rsid w:val="00464A19"/>
    <w:rsid w:val="00464AC9"/>
    <w:rsid w:val="00465656"/>
    <w:rsid w:val="00465802"/>
    <w:rsid w:val="00465C72"/>
    <w:rsid w:val="00465EC0"/>
    <w:rsid w:val="00465F3B"/>
    <w:rsid w:val="004666A5"/>
    <w:rsid w:val="00466884"/>
    <w:rsid w:val="00466C2A"/>
    <w:rsid w:val="00466F68"/>
    <w:rsid w:val="004671E6"/>
    <w:rsid w:val="00467409"/>
    <w:rsid w:val="00467893"/>
    <w:rsid w:val="00467B0A"/>
    <w:rsid w:val="00467B8F"/>
    <w:rsid w:val="00467BF3"/>
    <w:rsid w:val="004700A8"/>
    <w:rsid w:val="0047070E"/>
    <w:rsid w:val="00470A42"/>
    <w:rsid w:val="0047103C"/>
    <w:rsid w:val="00471E12"/>
    <w:rsid w:val="00472282"/>
    <w:rsid w:val="00472556"/>
    <w:rsid w:val="00472898"/>
    <w:rsid w:val="00472A7D"/>
    <w:rsid w:val="00472DED"/>
    <w:rsid w:val="00472FBF"/>
    <w:rsid w:val="00473405"/>
    <w:rsid w:val="004735F1"/>
    <w:rsid w:val="00473867"/>
    <w:rsid w:val="004738CA"/>
    <w:rsid w:val="00473A39"/>
    <w:rsid w:val="00473B57"/>
    <w:rsid w:val="0047416D"/>
    <w:rsid w:val="004741F9"/>
    <w:rsid w:val="004744CE"/>
    <w:rsid w:val="004746BD"/>
    <w:rsid w:val="0047471E"/>
    <w:rsid w:val="00474A5E"/>
    <w:rsid w:val="00474CD6"/>
    <w:rsid w:val="00474EF6"/>
    <w:rsid w:val="004752CA"/>
    <w:rsid w:val="00475421"/>
    <w:rsid w:val="00475BC0"/>
    <w:rsid w:val="0047603C"/>
    <w:rsid w:val="00476B36"/>
    <w:rsid w:val="004777C0"/>
    <w:rsid w:val="0047789B"/>
    <w:rsid w:val="00477C22"/>
    <w:rsid w:val="00480606"/>
    <w:rsid w:val="00480624"/>
    <w:rsid w:val="00480A7B"/>
    <w:rsid w:val="00480B0B"/>
    <w:rsid w:val="00481328"/>
    <w:rsid w:val="004816B5"/>
    <w:rsid w:val="00481761"/>
    <w:rsid w:val="00481A30"/>
    <w:rsid w:val="00482768"/>
    <w:rsid w:val="00482A2A"/>
    <w:rsid w:val="00482B82"/>
    <w:rsid w:val="00482E8E"/>
    <w:rsid w:val="00482F3B"/>
    <w:rsid w:val="00482FEC"/>
    <w:rsid w:val="0048315E"/>
    <w:rsid w:val="00483449"/>
    <w:rsid w:val="004834DF"/>
    <w:rsid w:val="00483679"/>
    <w:rsid w:val="00483EA7"/>
    <w:rsid w:val="0048425C"/>
    <w:rsid w:val="004843FA"/>
    <w:rsid w:val="0048450A"/>
    <w:rsid w:val="0048461D"/>
    <w:rsid w:val="00484A7A"/>
    <w:rsid w:val="00484C1E"/>
    <w:rsid w:val="00484F19"/>
    <w:rsid w:val="004852E3"/>
    <w:rsid w:val="004857A4"/>
    <w:rsid w:val="004859C2"/>
    <w:rsid w:val="00486520"/>
    <w:rsid w:val="004869FF"/>
    <w:rsid w:val="00486D2A"/>
    <w:rsid w:val="004872F3"/>
    <w:rsid w:val="00490038"/>
    <w:rsid w:val="004903E1"/>
    <w:rsid w:val="004909CD"/>
    <w:rsid w:val="004911A4"/>
    <w:rsid w:val="0049144D"/>
    <w:rsid w:val="00491839"/>
    <w:rsid w:val="00491A8F"/>
    <w:rsid w:val="00491CEB"/>
    <w:rsid w:val="004923A5"/>
    <w:rsid w:val="004923FA"/>
    <w:rsid w:val="00492486"/>
    <w:rsid w:val="00492544"/>
    <w:rsid w:val="004925DA"/>
    <w:rsid w:val="00492C6B"/>
    <w:rsid w:val="00492E53"/>
    <w:rsid w:val="00493678"/>
    <w:rsid w:val="00493988"/>
    <w:rsid w:val="0049443E"/>
    <w:rsid w:val="004945BD"/>
    <w:rsid w:val="00494972"/>
    <w:rsid w:val="00494D2D"/>
    <w:rsid w:val="004954EE"/>
    <w:rsid w:val="004954FB"/>
    <w:rsid w:val="004958AE"/>
    <w:rsid w:val="00495C15"/>
    <w:rsid w:val="004960E0"/>
    <w:rsid w:val="0049715B"/>
    <w:rsid w:val="00497562"/>
    <w:rsid w:val="00497593"/>
    <w:rsid w:val="0049775B"/>
    <w:rsid w:val="00497EBD"/>
    <w:rsid w:val="004A0A73"/>
    <w:rsid w:val="004A14FB"/>
    <w:rsid w:val="004A1831"/>
    <w:rsid w:val="004A186E"/>
    <w:rsid w:val="004A1C73"/>
    <w:rsid w:val="004A1D48"/>
    <w:rsid w:val="004A1F32"/>
    <w:rsid w:val="004A23D7"/>
    <w:rsid w:val="004A3399"/>
    <w:rsid w:val="004A34FB"/>
    <w:rsid w:val="004A35DD"/>
    <w:rsid w:val="004A3742"/>
    <w:rsid w:val="004A37E3"/>
    <w:rsid w:val="004A3B53"/>
    <w:rsid w:val="004A3E1B"/>
    <w:rsid w:val="004A4153"/>
    <w:rsid w:val="004A41FC"/>
    <w:rsid w:val="004A4B00"/>
    <w:rsid w:val="004A4C5A"/>
    <w:rsid w:val="004A5373"/>
    <w:rsid w:val="004A540A"/>
    <w:rsid w:val="004A5583"/>
    <w:rsid w:val="004A5B1A"/>
    <w:rsid w:val="004A5C99"/>
    <w:rsid w:val="004A637A"/>
    <w:rsid w:val="004A63A0"/>
    <w:rsid w:val="004A667B"/>
    <w:rsid w:val="004A66D9"/>
    <w:rsid w:val="004A6F6B"/>
    <w:rsid w:val="004A7746"/>
    <w:rsid w:val="004A79E5"/>
    <w:rsid w:val="004A7D27"/>
    <w:rsid w:val="004A7E3D"/>
    <w:rsid w:val="004B010A"/>
    <w:rsid w:val="004B047F"/>
    <w:rsid w:val="004B07A9"/>
    <w:rsid w:val="004B101B"/>
    <w:rsid w:val="004B1304"/>
    <w:rsid w:val="004B17C8"/>
    <w:rsid w:val="004B1A95"/>
    <w:rsid w:val="004B1B2C"/>
    <w:rsid w:val="004B1C53"/>
    <w:rsid w:val="004B2730"/>
    <w:rsid w:val="004B2ACC"/>
    <w:rsid w:val="004B3B07"/>
    <w:rsid w:val="004B3F83"/>
    <w:rsid w:val="004B3F8C"/>
    <w:rsid w:val="004B4077"/>
    <w:rsid w:val="004B42FE"/>
    <w:rsid w:val="004B4D6F"/>
    <w:rsid w:val="004B4F1A"/>
    <w:rsid w:val="004B5293"/>
    <w:rsid w:val="004B539E"/>
    <w:rsid w:val="004B5D04"/>
    <w:rsid w:val="004B6184"/>
    <w:rsid w:val="004B69BB"/>
    <w:rsid w:val="004B6DA0"/>
    <w:rsid w:val="004B6FF7"/>
    <w:rsid w:val="004B776F"/>
    <w:rsid w:val="004B78AE"/>
    <w:rsid w:val="004B7A96"/>
    <w:rsid w:val="004B7CDB"/>
    <w:rsid w:val="004C035D"/>
    <w:rsid w:val="004C04A1"/>
    <w:rsid w:val="004C0D00"/>
    <w:rsid w:val="004C0D1F"/>
    <w:rsid w:val="004C0EC0"/>
    <w:rsid w:val="004C129D"/>
    <w:rsid w:val="004C12C1"/>
    <w:rsid w:val="004C1410"/>
    <w:rsid w:val="004C1ECC"/>
    <w:rsid w:val="004C2203"/>
    <w:rsid w:val="004C240D"/>
    <w:rsid w:val="004C2993"/>
    <w:rsid w:val="004C331A"/>
    <w:rsid w:val="004C38A8"/>
    <w:rsid w:val="004C3986"/>
    <w:rsid w:val="004C3ABF"/>
    <w:rsid w:val="004C3AE3"/>
    <w:rsid w:val="004C41F4"/>
    <w:rsid w:val="004C467B"/>
    <w:rsid w:val="004C4809"/>
    <w:rsid w:val="004C4896"/>
    <w:rsid w:val="004C4B45"/>
    <w:rsid w:val="004C4E0B"/>
    <w:rsid w:val="004C5185"/>
    <w:rsid w:val="004C550A"/>
    <w:rsid w:val="004C57B2"/>
    <w:rsid w:val="004C5C36"/>
    <w:rsid w:val="004C605A"/>
    <w:rsid w:val="004C6F92"/>
    <w:rsid w:val="004C73A6"/>
    <w:rsid w:val="004C7688"/>
    <w:rsid w:val="004D00BD"/>
    <w:rsid w:val="004D022B"/>
    <w:rsid w:val="004D037F"/>
    <w:rsid w:val="004D09F5"/>
    <w:rsid w:val="004D0B8E"/>
    <w:rsid w:val="004D0C94"/>
    <w:rsid w:val="004D0CA0"/>
    <w:rsid w:val="004D0EA5"/>
    <w:rsid w:val="004D1B98"/>
    <w:rsid w:val="004D1CBA"/>
    <w:rsid w:val="004D24B0"/>
    <w:rsid w:val="004D281A"/>
    <w:rsid w:val="004D369F"/>
    <w:rsid w:val="004D3946"/>
    <w:rsid w:val="004D3EA8"/>
    <w:rsid w:val="004D412A"/>
    <w:rsid w:val="004D429B"/>
    <w:rsid w:val="004D43BE"/>
    <w:rsid w:val="004D44A3"/>
    <w:rsid w:val="004D48DC"/>
    <w:rsid w:val="004D49A3"/>
    <w:rsid w:val="004D4EE3"/>
    <w:rsid w:val="004D535D"/>
    <w:rsid w:val="004D54C8"/>
    <w:rsid w:val="004D553D"/>
    <w:rsid w:val="004D55E5"/>
    <w:rsid w:val="004D57B2"/>
    <w:rsid w:val="004D6421"/>
    <w:rsid w:val="004D6F0E"/>
    <w:rsid w:val="004D6F3B"/>
    <w:rsid w:val="004D733C"/>
    <w:rsid w:val="004D75E1"/>
    <w:rsid w:val="004D7EA7"/>
    <w:rsid w:val="004D7FB7"/>
    <w:rsid w:val="004E013E"/>
    <w:rsid w:val="004E0943"/>
    <w:rsid w:val="004E0B10"/>
    <w:rsid w:val="004E0B1B"/>
    <w:rsid w:val="004E18F4"/>
    <w:rsid w:val="004E19CA"/>
    <w:rsid w:val="004E1ACE"/>
    <w:rsid w:val="004E1B43"/>
    <w:rsid w:val="004E1C38"/>
    <w:rsid w:val="004E2488"/>
    <w:rsid w:val="004E26E5"/>
    <w:rsid w:val="004E2A19"/>
    <w:rsid w:val="004E2C61"/>
    <w:rsid w:val="004E2EF7"/>
    <w:rsid w:val="004E33E6"/>
    <w:rsid w:val="004E3572"/>
    <w:rsid w:val="004E3871"/>
    <w:rsid w:val="004E3AAF"/>
    <w:rsid w:val="004E42E5"/>
    <w:rsid w:val="004E4830"/>
    <w:rsid w:val="004E49B9"/>
    <w:rsid w:val="004E4AD5"/>
    <w:rsid w:val="004E4DFA"/>
    <w:rsid w:val="004E5468"/>
    <w:rsid w:val="004E56C2"/>
    <w:rsid w:val="004E5827"/>
    <w:rsid w:val="004E5AE1"/>
    <w:rsid w:val="004E5B3F"/>
    <w:rsid w:val="004E5CEF"/>
    <w:rsid w:val="004E6231"/>
    <w:rsid w:val="004E6284"/>
    <w:rsid w:val="004E633C"/>
    <w:rsid w:val="004E669E"/>
    <w:rsid w:val="004E66CE"/>
    <w:rsid w:val="004E6ACB"/>
    <w:rsid w:val="004E718D"/>
    <w:rsid w:val="004E7411"/>
    <w:rsid w:val="004E775C"/>
    <w:rsid w:val="004E7D6E"/>
    <w:rsid w:val="004E7D94"/>
    <w:rsid w:val="004E7ED3"/>
    <w:rsid w:val="004F07E6"/>
    <w:rsid w:val="004F092D"/>
    <w:rsid w:val="004F0AD8"/>
    <w:rsid w:val="004F0C51"/>
    <w:rsid w:val="004F0D26"/>
    <w:rsid w:val="004F1203"/>
    <w:rsid w:val="004F2609"/>
    <w:rsid w:val="004F26F6"/>
    <w:rsid w:val="004F2A06"/>
    <w:rsid w:val="004F2A43"/>
    <w:rsid w:val="004F2ABE"/>
    <w:rsid w:val="004F2B03"/>
    <w:rsid w:val="004F30C4"/>
    <w:rsid w:val="004F3CB5"/>
    <w:rsid w:val="004F4622"/>
    <w:rsid w:val="004F473E"/>
    <w:rsid w:val="004F48B4"/>
    <w:rsid w:val="004F4E85"/>
    <w:rsid w:val="004F4F58"/>
    <w:rsid w:val="004F51E3"/>
    <w:rsid w:val="004F5BC1"/>
    <w:rsid w:val="004F5C53"/>
    <w:rsid w:val="004F5FE0"/>
    <w:rsid w:val="004F6164"/>
    <w:rsid w:val="004F68A8"/>
    <w:rsid w:val="004F6CEF"/>
    <w:rsid w:val="004F701C"/>
    <w:rsid w:val="004F7071"/>
    <w:rsid w:val="004F757F"/>
    <w:rsid w:val="004F75B7"/>
    <w:rsid w:val="004F7650"/>
    <w:rsid w:val="004F7BE1"/>
    <w:rsid w:val="004F7DBA"/>
    <w:rsid w:val="004F7FAD"/>
    <w:rsid w:val="005000F5"/>
    <w:rsid w:val="0050050B"/>
    <w:rsid w:val="005006DF"/>
    <w:rsid w:val="00500A5D"/>
    <w:rsid w:val="00500E50"/>
    <w:rsid w:val="0050196D"/>
    <w:rsid w:val="00501A4F"/>
    <w:rsid w:val="00501FC0"/>
    <w:rsid w:val="0050227F"/>
    <w:rsid w:val="005022F8"/>
    <w:rsid w:val="0050240B"/>
    <w:rsid w:val="00502957"/>
    <w:rsid w:val="00502AB3"/>
    <w:rsid w:val="00502B4E"/>
    <w:rsid w:val="00502E91"/>
    <w:rsid w:val="0050318F"/>
    <w:rsid w:val="005035EB"/>
    <w:rsid w:val="005038AE"/>
    <w:rsid w:val="00503ACD"/>
    <w:rsid w:val="00503BE3"/>
    <w:rsid w:val="00503E67"/>
    <w:rsid w:val="00504015"/>
    <w:rsid w:val="005046A1"/>
    <w:rsid w:val="00504C85"/>
    <w:rsid w:val="00504F72"/>
    <w:rsid w:val="00504F82"/>
    <w:rsid w:val="005053A8"/>
    <w:rsid w:val="0050561B"/>
    <w:rsid w:val="0050567A"/>
    <w:rsid w:val="00505912"/>
    <w:rsid w:val="00505AB1"/>
    <w:rsid w:val="00505C71"/>
    <w:rsid w:val="00505E26"/>
    <w:rsid w:val="00505E2C"/>
    <w:rsid w:val="00506324"/>
    <w:rsid w:val="0050632F"/>
    <w:rsid w:val="00506DF7"/>
    <w:rsid w:val="005070CB"/>
    <w:rsid w:val="00507168"/>
    <w:rsid w:val="0050785E"/>
    <w:rsid w:val="005102B8"/>
    <w:rsid w:val="00510CAF"/>
    <w:rsid w:val="005111BB"/>
    <w:rsid w:val="0051153F"/>
    <w:rsid w:val="00511624"/>
    <w:rsid w:val="00511740"/>
    <w:rsid w:val="0051181E"/>
    <w:rsid w:val="00511E22"/>
    <w:rsid w:val="00511FA4"/>
    <w:rsid w:val="00511FE6"/>
    <w:rsid w:val="00512290"/>
    <w:rsid w:val="00512366"/>
    <w:rsid w:val="0051245F"/>
    <w:rsid w:val="00512D75"/>
    <w:rsid w:val="00513005"/>
    <w:rsid w:val="0051334E"/>
    <w:rsid w:val="00513762"/>
    <w:rsid w:val="0051376E"/>
    <w:rsid w:val="005137D8"/>
    <w:rsid w:val="00513B3B"/>
    <w:rsid w:val="00513B56"/>
    <w:rsid w:val="0051438C"/>
    <w:rsid w:val="00514617"/>
    <w:rsid w:val="00514BDF"/>
    <w:rsid w:val="005153F9"/>
    <w:rsid w:val="005155A6"/>
    <w:rsid w:val="00515DEC"/>
    <w:rsid w:val="00516121"/>
    <w:rsid w:val="00516184"/>
    <w:rsid w:val="00516882"/>
    <w:rsid w:val="00516FA1"/>
    <w:rsid w:val="005176B4"/>
    <w:rsid w:val="00517DE1"/>
    <w:rsid w:val="00520458"/>
    <w:rsid w:val="0052047D"/>
    <w:rsid w:val="00520568"/>
    <w:rsid w:val="005206C5"/>
    <w:rsid w:val="005208E0"/>
    <w:rsid w:val="00521B53"/>
    <w:rsid w:val="00521F99"/>
    <w:rsid w:val="005222DD"/>
    <w:rsid w:val="0052273F"/>
    <w:rsid w:val="00522CC6"/>
    <w:rsid w:val="00522D73"/>
    <w:rsid w:val="00522E54"/>
    <w:rsid w:val="00523162"/>
    <w:rsid w:val="0052317D"/>
    <w:rsid w:val="00523713"/>
    <w:rsid w:val="0052377C"/>
    <w:rsid w:val="00523B44"/>
    <w:rsid w:val="00523F70"/>
    <w:rsid w:val="00524029"/>
    <w:rsid w:val="0052459C"/>
    <w:rsid w:val="005245E1"/>
    <w:rsid w:val="005247A1"/>
    <w:rsid w:val="005248C9"/>
    <w:rsid w:val="00524FAA"/>
    <w:rsid w:val="0052526E"/>
    <w:rsid w:val="005254D5"/>
    <w:rsid w:val="00525AB2"/>
    <w:rsid w:val="00525CB0"/>
    <w:rsid w:val="00525FA0"/>
    <w:rsid w:val="005266CF"/>
    <w:rsid w:val="00526AAC"/>
    <w:rsid w:val="00526FB8"/>
    <w:rsid w:val="005272F0"/>
    <w:rsid w:val="00527478"/>
    <w:rsid w:val="0052781A"/>
    <w:rsid w:val="005279CC"/>
    <w:rsid w:val="0053006D"/>
    <w:rsid w:val="005303B2"/>
    <w:rsid w:val="00531524"/>
    <w:rsid w:val="00531A45"/>
    <w:rsid w:val="005328E6"/>
    <w:rsid w:val="005329C2"/>
    <w:rsid w:val="005337D4"/>
    <w:rsid w:val="00533B67"/>
    <w:rsid w:val="00534328"/>
    <w:rsid w:val="00535276"/>
    <w:rsid w:val="00535BCF"/>
    <w:rsid w:val="005360E7"/>
    <w:rsid w:val="005364C1"/>
    <w:rsid w:val="005368EC"/>
    <w:rsid w:val="00536E19"/>
    <w:rsid w:val="00537178"/>
    <w:rsid w:val="00537655"/>
    <w:rsid w:val="0053777A"/>
    <w:rsid w:val="00540632"/>
    <w:rsid w:val="005406D2"/>
    <w:rsid w:val="00540B30"/>
    <w:rsid w:val="00541048"/>
    <w:rsid w:val="00541296"/>
    <w:rsid w:val="005414DF"/>
    <w:rsid w:val="00541A03"/>
    <w:rsid w:val="00541C38"/>
    <w:rsid w:val="00542127"/>
    <w:rsid w:val="005421CE"/>
    <w:rsid w:val="005422E0"/>
    <w:rsid w:val="0054264D"/>
    <w:rsid w:val="005427DD"/>
    <w:rsid w:val="005431FF"/>
    <w:rsid w:val="00543E0F"/>
    <w:rsid w:val="0054409D"/>
    <w:rsid w:val="00544730"/>
    <w:rsid w:val="0054499E"/>
    <w:rsid w:val="00544E4C"/>
    <w:rsid w:val="005454E8"/>
    <w:rsid w:val="00545DC5"/>
    <w:rsid w:val="00545E12"/>
    <w:rsid w:val="00545F8F"/>
    <w:rsid w:val="005460B1"/>
    <w:rsid w:val="005460C0"/>
    <w:rsid w:val="005467FD"/>
    <w:rsid w:val="00546DFB"/>
    <w:rsid w:val="00546E00"/>
    <w:rsid w:val="00547161"/>
    <w:rsid w:val="00547347"/>
    <w:rsid w:val="00547887"/>
    <w:rsid w:val="00547A73"/>
    <w:rsid w:val="00547BA0"/>
    <w:rsid w:val="00547F58"/>
    <w:rsid w:val="0055021C"/>
    <w:rsid w:val="005502DC"/>
    <w:rsid w:val="005509DA"/>
    <w:rsid w:val="005510BB"/>
    <w:rsid w:val="005517C1"/>
    <w:rsid w:val="00551A09"/>
    <w:rsid w:val="00551F85"/>
    <w:rsid w:val="0055206D"/>
    <w:rsid w:val="00552232"/>
    <w:rsid w:val="00552534"/>
    <w:rsid w:val="0055267D"/>
    <w:rsid w:val="0055285D"/>
    <w:rsid w:val="00552D0B"/>
    <w:rsid w:val="00552D2C"/>
    <w:rsid w:val="00553387"/>
    <w:rsid w:val="005533C7"/>
    <w:rsid w:val="00553B31"/>
    <w:rsid w:val="00553CAE"/>
    <w:rsid w:val="00553FEF"/>
    <w:rsid w:val="00554EC8"/>
    <w:rsid w:val="0055511E"/>
    <w:rsid w:val="005551B7"/>
    <w:rsid w:val="00555454"/>
    <w:rsid w:val="005557D7"/>
    <w:rsid w:val="00555C66"/>
    <w:rsid w:val="005562DF"/>
    <w:rsid w:val="00556620"/>
    <w:rsid w:val="00556EDD"/>
    <w:rsid w:val="00557348"/>
    <w:rsid w:val="00557763"/>
    <w:rsid w:val="0056004E"/>
    <w:rsid w:val="005602F4"/>
    <w:rsid w:val="0056123F"/>
    <w:rsid w:val="00561422"/>
    <w:rsid w:val="005614B1"/>
    <w:rsid w:val="00561C18"/>
    <w:rsid w:val="00563514"/>
    <w:rsid w:val="005637A4"/>
    <w:rsid w:val="005639BA"/>
    <w:rsid w:val="005641B2"/>
    <w:rsid w:val="0056470D"/>
    <w:rsid w:val="00564BC2"/>
    <w:rsid w:val="00564D46"/>
    <w:rsid w:val="005654B6"/>
    <w:rsid w:val="00565C03"/>
    <w:rsid w:val="00566190"/>
    <w:rsid w:val="005666A1"/>
    <w:rsid w:val="005667B7"/>
    <w:rsid w:val="00566CF2"/>
    <w:rsid w:val="005674E0"/>
    <w:rsid w:val="00567671"/>
    <w:rsid w:val="00570392"/>
    <w:rsid w:val="00570530"/>
    <w:rsid w:val="005708AF"/>
    <w:rsid w:val="00571A6A"/>
    <w:rsid w:val="005722D4"/>
    <w:rsid w:val="00572663"/>
    <w:rsid w:val="00572699"/>
    <w:rsid w:val="00572787"/>
    <w:rsid w:val="00572EEC"/>
    <w:rsid w:val="00573015"/>
    <w:rsid w:val="00574409"/>
    <w:rsid w:val="005747F1"/>
    <w:rsid w:val="00574A53"/>
    <w:rsid w:val="00574B34"/>
    <w:rsid w:val="00574C98"/>
    <w:rsid w:val="0057526C"/>
    <w:rsid w:val="00575577"/>
    <w:rsid w:val="005757F9"/>
    <w:rsid w:val="00575935"/>
    <w:rsid w:val="00576171"/>
    <w:rsid w:val="0057629F"/>
    <w:rsid w:val="005765EA"/>
    <w:rsid w:val="00576C42"/>
    <w:rsid w:val="00577004"/>
    <w:rsid w:val="00577082"/>
    <w:rsid w:val="005771B8"/>
    <w:rsid w:val="005776A9"/>
    <w:rsid w:val="00577C0E"/>
    <w:rsid w:val="00577EA1"/>
    <w:rsid w:val="005800AF"/>
    <w:rsid w:val="005804D1"/>
    <w:rsid w:val="0058066B"/>
    <w:rsid w:val="00580B93"/>
    <w:rsid w:val="00580E7C"/>
    <w:rsid w:val="005817E1"/>
    <w:rsid w:val="00582213"/>
    <w:rsid w:val="00582426"/>
    <w:rsid w:val="005826C0"/>
    <w:rsid w:val="00582E38"/>
    <w:rsid w:val="005831F3"/>
    <w:rsid w:val="005832D4"/>
    <w:rsid w:val="0058370A"/>
    <w:rsid w:val="0058439D"/>
    <w:rsid w:val="00584445"/>
    <w:rsid w:val="005856D7"/>
    <w:rsid w:val="005857D8"/>
    <w:rsid w:val="00585A38"/>
    <w:rsid w:val="00586072"/>
    <w:rsid w:val="00586161"/>
    <w:rsid w:val="00586F9E"/>
    <w:rsid w:val="00587834"/>
    <w:rsid w:val="005879B6"/>
    <w:rsid w:val="00590EE0"/>
    <w:rsid w:val="005920FD"/>
    <w:rsid w:val="00592342"/>
    <w:rsid w:val="005925C4"/>
    <w:rsid w:val="00592DB0"/>
    <w:rsid w:val="00592F6D"/>
    <w:rsid w:val="005932F9"/>
    <w:rsid w:val="0059379B"/>
    <w:rsid w:val="005939DD"/>
    <w:rsid w:val="00593B8B"/>
    <w:rsid w:val="00594050"/>
    <w:rsid w:val="00594129"/>
    <w:rsid w:val="0059455A"/>
    <w:rsid w:val="00594929"/>
    <w:rsid w:val="00594AB3"/>
    <w:rsid w:val="00594B2E"/>
    <w:rsid w:val="00594F86"/>
    <w:rsid w:val="00595267"/>
    <w:rsid w:val="005953AC"/>
    <w:rsid w:val="00595545"/>
    <w:rsid w:val="005956CF"/>
    <w:rsid w:val="005979A4"/>
    <w:rsid w:val="005A0607"/>
    <w:rsid w:val="005A194C"/>
    <w:rsid w:val="005A1AF6"/>
    <w:rsid w:val="005A1B38"/>
    <w:rsid w:val="005A1E0F"/>
    <w:rsid w:val="005A22B2"/>
    <w:rsid w:val="005A26DB"/>
    <w:rsid w:val="005A2B12"/>
    <w:rsid w:val="005A31DF"/>
    <w:rsid w:val="005A31EF"/>
    <w:rsid w:val="005A36CA"/>
    <w:rsid w:val="005A3B5B"/>
    <w:rsid w:val="005A3E17"/>
    <w:rsid w:val="005A3F4C"/>
    <w:rsid w:val="005A3F7D"/>
    <w:rsid w:val="005A4A6E"/>
    <w:rsid w:val="005A4ED9"/>
    <w:rsid w:val="005A5017"/>
    <w:rsid w:val="005A50DD"/>
    <w:rsid w:val="005A523F"/>
    <w:rsid w:val="005A5701"/>
    <w:rsid w:val="005A5DF7"/>
    <w:rsid w:val="005A5F09"/>
    <w:rsid w:val="005A679A"/>
    <w:rsid w:val="005A7079"/>
    <w:rsid w:val="005A7509"/>
    <w:rsid w:val="005A78C7"/>
    <w:rsid w:val="005A7CC0"/>
    <w:rsid w:val="005B0134"/>
    <w:rsid w:val="005B01EE"/>
    <w:rsid w:val="005B0422"/>
    <w:rsid w:val="005B07C9"/>
    <w:rsid w:val="005B1027"/>
    <w:rsid w:val="005B17E1"/>
    <w:rsid w:val="005B19B5"/>
    <w:rsid w:val="005B1A84"/>
    <w:rsid w:val="005B1D23"/>
    <w:rsid w:val="005B2264"/>
    <w:rsid w:val="005B2558"/>
    <w:rsid w:val="005B29E0"/>
    <w:rsid w:val="005B2AEF"/>
    <w:rsid w:val="005B2C2B"/>
    <w:rsid w:val="005B2CCD"/>
    <w:rsid w:val="005B2EE4"/>
    <w:rsid w:val="005B2EE5"/>
    <w:rsid w:val="005B2EFC"/>
    <w:rsid w:val="005B33F2"/>
    <w:rsid w:val="005B358D"/>
    <w:rsid w:val="005B35BB"/>
    <w:rsid w:val="005B3C10"/>
    <w:rsid w:val="005B48D3"/>
    <w:rsid w:val="005B4C80"/>
    <w:rsid w:val="005B4F4B"/>
    <w:rsid w:val="005B51C3"/>
    <w:rsid w:val="005B583A"/>
    <w:rsid w:val="005B6BE8"/>
    <w:rsid w:val="005B6FD5"/>
    <w:rsid w:val="005B79AA"/>
    <w:rsid w:val="005B7E15"/>
    <w:rsid w:val="005C007F"/>
    <w:rsid w:val="005C0265"/>
    <w:rsid w:val="005C0A71"/>
    <w:rsid w:val="005C0BA1"/>
    <w:rsid w:val="005C0CB7"/>
    <w:rsid w:val="005C0DC5"/>
    <w:rsid w:val="005C1074"/>
    <w:rsid w:val="005C1962"/>
    <w:rsid w:val="005C1E10"/>
    <w:rsid w:val="005C2336"/>
    <w:rsid w:val="005C23A8"/>
    <w:rsid w:val="005C2BD0"/>
    <w:rsid w:val="005C31A2"/>
    <w:rsid w:val="005C36CC"/>
    <w:rsid w:val="005C49D5"/>
    <w:rsid w:val="005C4F74"/>
    <w:rsid w:val="005C5383"/>
    <w:rsid w:val="005C55A3"/>
    <w:rsid w:val="005C5656"/>
    <w:rsid w:val="005C5E59"/>
    <w:rsid w:val="005C68C0"/>
    <w:rsid w:val="005C6BE3"/>
    <w:rsid w:val="005C6D8D"/>
    <w:rsid w:val="005C740C"/>
    <w:rsid w:val="005C7559"/>
    <w:rsid w:val="005D0626"/>
    <w:rsid w:val="005D0658"/>
    <w:rsid w:val="005D08C3"/>
    <w:rsid w:val="005D0AD7"/>
    <w:rsid w:val="005D0EFD"/>
    <w:rsid w:val="005D1254"/>
    <w:rsid w:val="005D1692"/>
    <w:rsid w:val="005D1845"/>
    <w:rsid w:val="005D2598"/>
    <w:rsid w:val="005D3356"/>
    <w:rsid w:val="005D338E"/>
    <w:rsid w:val="005D35BA"/>
    <w:rsid w:val="005D3B41"/>
    <w:rsid w:val="005D3B6B"/>
    <w:rsid w:val="005D3D0B"/>
    <w:rsid w:val="005D40A9"/>
    <w:rsid w:val="005D4340"/>
    <w:rsid w:val="005D44B6"/>
    <w:rsid w:val="005D4733"/>
    <w:rsid w:val="005D47D1"/>
    <w:rsid w:val="005D4CC2"/>
    <w:rsid w:val="005D573D"/>
    <w:rsid w:val="005D5A62"/>
    <w:rsid w:val="005D5AE1"/>
    <w:rsid w:val="005D5DFA"/>
    <w:rsid w:val="005D5E42"/>
    <w:rsid w:val="005D5E5C"/>
    <w:rsid w:val="005D6665"/>
    <w:rsid w:val="005D66ED"/>
    <w:rsid w:val="005D67A6"/>
    <w:rsid w:val="005D695F"/>
    <w:rsid w:val="005D69B1"/>
    <w:rsid w:val="005D6D13"/>
    <w:rsid w:val="005D748F"/>
    <w:rsid w:val="005D7639"/>
    <w:rsid w:val="005E013F"/>
    <w:rsid w:val="005E1723"/>
    <w:rsid w:val="005E1D00"/>
    <w:rsid w:val="005E1FFB"/>
    <w:rsid w:val="005E2286"/>
    <w:rsid w:val="005E2A4D"/>
    <w:rsid w:val="005E2D40"/>
    <w:rsid w:val="005E30BC"/>
    <w:rsid w:val="005E353D"/>
    <w:rsid w:val="005E3A61"/>
    <w:rsid w:val="005E3ABB"/>
    <w:rsid w:val="005E3C74"/>
    <w:rsid w:val="005E402C"/>
    <w:rsid w:val="005E4085"/>
    <w:rsid w:val="005E43A8"/>
    <w:rsid w:val="005E470E"/>
    <w:rsid w:val="005E47A3"/>
    <w:rsid w:val="005E491F"/>
    <w:rsid w:val="005E4925"/>
    <w:rsid w:val="005E4D09"/>
    <w:rsid w:val="005E4E8E"/>
    <w:rsid w:val="005E4EC9"/>
    <w:rsid w:val="005E52B8"/>
    <w:rsid w:val="005E5F7C"/>
    <w:rsid w:val="005E6093"/>
    <w:rsid w:val="005E62D3"/>
    <w:rsid w:val="005E68BC"/>
    <w:rsid w:val="005E6B41"/>
    <w:rsid w:val="005E6CE2"/>
    <w:rsid w:val="005E6FDB"/>
    <w:rsid w:val="005E7042"/>
    <w:rsid w:val="005E7073"/>
    <w:rsid w:val="005E7213"/>
    <w:rsid w:val="005E7589"/>
    <w:rsid w:val="005E77D3"/>
    <w:rsid w:val="005F019F"/>
    <w:rsid w:val="005F06A7"/>
    <w:rsid w:val="005F1259"/>
    <w:rsid w:val="005F15D8"/>
    <w:rsid w:val="005F2296"/>
    <w:rsid w:val="005F23A5"/>
    <w:rsid w:val="005F284E"/>
    <w:rsid w:val="005F2D60"/>
    <w:rsid w:val="005F2FB1"/>
    <w:rsid w:val="005F38AD"/>
    <w:rsid w:val="005F4498"/>
    <w:rsid w:val="005F4775"/>
    <w:rsid w:val="005F4AED"/>
    <w:rsid w:val="005F4BAB"/>
    <w:rsid w:val="005F4DBF"/>
    <w:rsid w:val="005F4E55"/>
    <w:rsid w:val="005F5691"/>
    <w:rsid w:val="005F5E9E"/>
    <w:rsid w:val="005F6106"/>
    <w:rsid w:val="005F61DF"/>
    <w:rsid w:val="005F73F9"/>
    <w:rsid w:val="005F7510"/>
    <w:rsid w:val="005F785D"/>
    <w:rsid w:val="005F79A0"/>
    <w:rsid w:val="005F7A3E"/>
    <w:rsid w:val="005F7E96"/>
    <w:rsid w:val="006001E7"/>
    <w:rsid w:val="0060091E"/>
    <w:rsid w:val="00600F70"/>
    <w:rsid w:val="006019E9"/>
    <w:rsid w:val="00601C07"/>
    <w:rsid w:val="00601F9D"/>
    <w:rsid w:val="006023FC"/>
    <w:rsid w:val="00602456"/>
    <w:rsid w:val="00602CA4"/>
    <w:rsid w:val="00602DF4"/>
    <w:rsid w:val="0060308C"/>
    <w:rsid w:val="006032A7"/>
    <w:rsid w:val="006033F1"/>
    <w:rsid w:val="0060366C"/>
    <w:rsid w:val="00603AA0"/>
    <w:rsid w:val="00603B62"/>
    <w:rsid w:val="00603DAE"/>
    <w:rsid w:val="0060419B"/>
    <w:rsid w:val="00604245"/>
    <w:rsid w:val="006045FE"/>
    <w:rsid w:val="006046E5"/>
    <w:rsid w:val="00604AC9"/>
    <w:rsid w:val="00604BA7"/>
    <w:rsid w:val="006056A2"/>
    <w:rsid w:val="00605C30"/>
    <w:rsid w:val="00605C46"/>
    <w:rsid w:val="00605CD7"/>
    <w:rsid w:val="0060606D"/>
    <w:rsid w:val="00606425"/>
    <w:rsid w:val="00606466"/>
    <w:rsid w:val="00606599"/>
    <w:rsid w:val="006065C4"/>
    <w:rsid w:val="006065CA"/>
    <w:rsid w:val="00606634"/>
    <w:rsid w:val="0060690E"/>
    <w:rsid w:val="00606999"/>
    <w:rsid w:val="00606B27"/>
    <w:rsid w:val="00606D09"/>
    <w:rsid w:val="0060786D"/>
    <w:rsid w:val="00610113"/>
    <w:rsid w:val="006102CA"/>
    <w:rsid w:val="006104E2"/>
    <w:rsid w:val="0061072A"/>
    <w:rsid w:val="00610E0D"/>
    <w:rsid w:val="00610EA0"/>
    <w:rsid w:val="0061107C"/>
    <w:rsid w:val="00611189"/>
    <w:rsid w:val="00611287"/>
    <w:rsid w:val="006115C6"/>
    <w:rsid w:val="00611714"/>
    <w:rsid w:val="00611715"/>
    <w:rsid w:val="00611855"/>
    <w:rsid w:val="00611B38"/>
    <w:rsid w:val="006122C1"/>
    <w:rsid w:val="006136B7"/>
    <w:rsid w:val="006136FD"/>
    <w:rsid w:val="00613724"/>
    <w:rsid w:val="00613A0E"/>
    <w:rsid w:val="00613AAE"/>
    <w:rsid w:val="00613CF3"/>
    <w:rsid w:val="0061439E"/>
    <w:rsid w:val="0061446B"/>
    <w:rsid w:val="0061478D"/>
    <w:rsid w:val="00614929"/>
    <w:rsid w:val="00614B16"/>
    <w:rsid w:val="00615302"/>
    <w:rsid w:val="006155C4"/>
    <w:rsid w:val="006166E9"/>
    <w:rsid w:val="00616C9C"/>
    <w:rsid w:val="0061726A"/>
    <w:rsid w:val="00617873"/>
    <w:rsid w:val="006178C6"/>
    <w:rsid w:val="00617F52"/>
    <w:rsid w:val="00620135"/>
    <w:rsid w:val="006209A8"/>
    <w:rsid w:val="00620B25"/>
    <w:rsid w:val="00620BA3"/>
    <w:rsid w:val="00620D74"/>
    <w:rsid w:val="0062130E"/>
    <w:rsid w:val="00621318"/>
    <w:rsid w:val="006214E4"/>
    <w:rsid w:val="00621BC3"/>
    <w:rsid w:val="006224C1"/>
    <w:rsid w:val="00622538"/>
    <w:rsid w:val="00622792"/>
    <w:rsid w:val="006227DA"/>
    <w:rsid w:val="006227E2"/>
    <w:rsid w:val="00622C55"/>
    <w:rsid w:val="00623DF9"/>
    <w:rsid w:val="00624075"/>
    <w:rsid w:val="006243FB"/>
    <w:rsid w:val="00624561"/>
    <w:rsid w:val="006245CF"/>
    <w:rsid w:val="0062484F"/>
    <w:rsid w:val="00624960"/>
    <w:rsid w:val="00624CCC"/>
    <w:rsid w:val="00624E24"/>
    <w:rsid w:val="00624E2C"/>
    <w:rsid w:val="00624F02"/>
    <w:rsid w:val="00625084"/>
    <w:rsid w:val="00625A03"/>
    <w:rsid w:val="00625B2F"/>
    <w:rsid w:val="00626187"/>
    <w:rsid w:val="00626984"/>
    <w:rsid w:val="00626C24"/>
    <w:rsid w:val="006271D9"/>
    <w:rsid w:val="00627F32"/>
    <w:rsid w:val="006303EF"/>
    <w:rsid w:val="0063084D"/>
    <w:rsid w:val="006308F0"/>
    <w:rsid w:val="0063091A"/>
    <w:rsid w:val="00630BB7"/>
    <w:rsid w:val="00631186"/>
    <w:rsid w:val="00631339"/>
    <w:rsid w:val="006313F5"/>
    <w:rsid w:val="0063193D"/>
    <w:rsid w:val="00631CD7"/>
    <w:rsid w:val="00632061"/>
    <w:rsid w:val="00632559"/>
    <w:rsid w:val="00632592"/>
    <w:rsid w:val="00632655"/>
    <w:rsid w:val="00632745"/>
    <w:rsid w:val="00632AF4"/>
    <w:rsid w:val="00632B84"/>
    <w:rsid w:val="006333A3"/>
    <w:rsid w:val="00633683"/>
    <w:rsid w:val="006337ED"/>
    <w:rsid w:val="006346B7"/>
    <w:rsid w:val="00634865"/>
    <w:rsid w:val="00634F79"/>
    <w:rsid w:val="00635631"/>
    <w:rsid w:val="00635980"/>
    <w:rsid w:val="00635E0B"/>
    <w:rsid w:val="00635EC5"/>
    <w:rsid w:val="00636477"/>
    <w:rsid w:val="00636B38"/>
    <w:rsid w:val="006373C5"/>
    <w:rsid w:val="00637486"/>
    <w:rsid w:val="006376ED"/>
    <w:rsid w:val="0063777F"/>
    <w:rsid w:val="00637AC7"/>
    <w:rsid w:val="00637D6C"/>
    <w:rsid w:val="006406C4"/>
    <w:rsid w:val="00640734"/>
    <w:rsid w:val="006408FB"/>
    <w:rsid w:val="00640936"/>
    <w:rsid w:val="00640A23"/>
    <w:rsid w:val="00640C20"/>
    <w:rsid w:val="00640E60"/>
    <w:rsid w:val="006418AF"/>
    <w:rsid w:val="00641B34"/>
    <w:rsid w:val="00641D61"/>
    <w:rsid w:val="00642430"/>
    <w:rsid w:val="006425E4"/>
    <w:rsid w:val="0064260A"/>
    <w:rsid w:val="00643543"/>
    <w:rsid w:val="006445A8"/>
    <w:rsid w:val="006448F8"/>
    <w:rsid w:val="006453C5"/>
    <w:rsid w:val="006458EC"/>
    <w:rsid w:val="00645F23"/>
    <w:rsid w:val="006464BE"/>
    <w:rsid w:val="00646B3D"/>
    <w:rsid w:val="00646C1B"/>
    <w:rsid w:val="00646EDC"/>
    <w:rsid w:val="00647477"/>
    <w:rsid w:val="006475CE"/>
    <w:rsid w:val="00647AA1"/>
    <w:rsid w:val="00647C1C"/>
    <w:rsid w:val="00647DB5"/>
    <w:rsid w:val="00647EB3"/>
    <w:rsid w:val="00650B4A"/>
    <w:rsid w:val="00650DA1"/>
    <w:rsid w:val="00651138"/>
    <w:rsid w:val="006511A3"/>
    <w:rsid w:val="006516B3"/>
    <w:rsid w:val="00651807"/>
    <w:rsid w:val="00651851"/>
    <w:rsid w:val="00651A62"/>
    <w:rsid w:val="00651E68"/>
    <w:rsid w:val="00652018"/>
    <w:rsid w:val="006520A7"/>
    <w:rsid w:val="006527A8"/>
    <w:rsid w:val="00653100"/>
    <w:rsid w:val="006535F3"/>
    <w:rsid w:val="00653FA4"/>
    <w:rsid w:val="00654B06"/>
    <w:rsid w:val="006550B5"/>
    <w:rsid w:val="006559C3"/>
    <w:rsid w:val="00655A00"/>
    <w:rsid w:val="00655A3B"/>
    <w:rsid w:val="006561D7"/>
    <w:rsid w:val="0065633E"/>
    <w:rsid w:val="0065652F"/>
    <w:rsid w:val="006566F6"/>
    <w:rsid w:val="00656A22"/>
    <w:rsid w:val="00656C30"/>
    <w:rsid w:val="00657213"/>
    <w:rsid w:val="00657611"/>
    <w:rsid w:val="00657C0B"/>
    <w:rsid w:val="00657D09"/>
    <w:rsid w:val="00660FB3"/>
    <w:rsid w:val="006610A6"/>
    <w:rsid w:val="006613BB"/>
    <w:rsid w:val="006613E6"/>
    <w:rsid w:val="006616A5"/>
    <w:rsid w:val="00661C98"/>
    <w:rsid w:val="00661E38"/>
    <w:rsid w:val="00661E6C"/>
    <w:rsid w:val="0066237F"/>
    <w:rsid w:val="00662E47"/>
    <w:rsid w:val="006632F9"/>
    <w:rsid w:val="006638CB"/>
    <w:rsid w:val="006638EF"/>
    <w:rsid w:val="00663B82"/>
    <w:rsid w:val="00663BF7"/>
    <w:rsid w:val="00663EDB"/>
    <w:rsid w:val="00664219"/>
    <w:rsid w:val="00664482"/>
    <w:rsid w:val="00664DA9"/>
    <w:rsid w:val="006656FD"/>
    <w:rsid w:val="0066598D"/>
    <w:rsid w:val="006659BE"/>
    <w:rsid w:val="00665B1A"/>
    <w:rsid w:val="00665E7A"/>
    <w:rsid w:val="00665F2F"/>
    <w:rsid w:val="00666562"/>
    <w:rsid w:val="0066689E"/>
    <w:rsid w:val="00666945"/>
    <w:rsid w:val="00666C63"/>
    <w:rsid w:val="00666E11"/>
    <w:rsid w:val="00667387"/>
    <w:rsid w:val="00670201"/>
    <w:rsid w:val="00670A6D"/>
    <w:rsid w:val="00671A58"/>
    <w:rsid w:val="00671CBE"/>
    <w:rsid w:val="00671D78"/>
    <w:rsid w:val="00671EF5"/>
    <w:rsid w:val="00672DC7"/>
    <w:rsid w:val="00672DD5"/>
    <w:rsid w:val="00673042"/>
    <w:rsid w:val="00673566"/>
    <w:rsid w:val="00673610"/>
    <w:rsid w:val="00674298"/>
    <w:rsid w:val="00674346"/>
    <w:rsid w:val="00675797"/>
    <w:rsid w:val="00675919"/>
    <w:rsid w:val="00675A26"/>
    <w:rsid w:val="00675F26"/>
    <w:rsid w:val="00676100"/>
    <w:rsid w:val="006764B3"/>
    <w:rsid w:val="006767AE"/>
    <w:rsid w:val="00676C85"/>
    <w:rsid w:val="00677605"/>
    <w:rsid w:val="00677649"/>
    <w:rsid w:val="00677856"/>
    <w:rsid w:val="00677905"/>
    <w:rsid w:val="00677D51"/>
    <w:rsid w:val="0068029C"/>
    <w:rsid w:val="0068062F"/>
    <w:rsid w:val="00680BDC"/>
    <w:rsid w:val="00680F24"/>
    <w:rsid w:val="0068135E"/>
    <w:rsid w:val="00681447"/>
    <w:rsid w:val="0068146E"/>
    <w:rsid w:val="00681683"/>
    <w:rsid w:val="00681700"/>
    <w:rsid w:val="00682E00"/>
    <w:rsid w:val="00683FDC"/>
    <w:rsid w:val="0068420A"/>
    <w:rsid w:val="006847AF"/>
    <w:rsid w:val="00684A24"/>
    <w:rsid w:val="006858E7"/>
    <w:rsid w:val="00685AF2"/>
    <w:rsid w:val="00685B20"/>
    <w:rsid w:val="00687182"/>
    <w:rsid w:val="00687AFB"/>
    <w:rsid w:val="00687B79"/>
    <w:rsid w:val="00687E61"/>
    <w:rsid w:val="00687FDD"/>
    <w:rsid w:val="00690064"/>
    <w:rsid w:val="006905C6"/>
    <w:rsid w:val="006907C5"/>
    <w:rsid w:val="00690A19"/>
    <w:rsid w:val="00690E16"/>
    <w:rsid w:val="0069109A"/>
    <w:rsid w:val="00691446"/>
    <w:rsid w:val="006917CD"/>
    <w:rsid w:val="00691B34"/>
    <w:rsid w:val="00691D95"/>
    <w:rsid w:val="00691DFE"/>
    <w:rsid w:val="006924C1"/>
    <w:rsid w:val="00692780"/>
    <w:rsid w:val="00692A00"/>
    <w:rsid w:val="006934ED"/>
    <w:rsid w:val="00693548"/>
    <w:rsid w:val="00693595"/>
    <w:rsid w:val="00693928"/>
    <w:rsid w:val="006939D7"/>
    <w:rsid w:val="006941FC"/>
    <w:rsid w:val="006947A9"/>
    <w:rsid w:val="006949D2"/>
    <w:rsid w:val="00694C06"/>
    <w:rsid w:val="00694C5F"/>
    <w:rsid w:val="00694F80"/>
    <w:rsid w:val="00695140"/>
    <w:rsid w:val="006955B2"/>
    <w:rsid w:val="00695BFF"/>
    <w:rsid w:val="00696587"/>
    <w:rsid w:val="00696917"/>
    <w:rsid w:val="00696CB9"/>
    <w:rsid w:val="006971D7"/>
    <w:rsid w:val="0069746E"/>
    <w:rsid w:val="00697544"/>
    <w:rsid w:val="00697946"/>
    <w:rsid w:val="00697B76"/>
    <w:rsid w:val="00697C4E"/>
    <w:rsid w:val="006A004A"/>
    <w:rsid w:val="006A028F"/>
    <w:rsid w:val="006A0AF2"/>
    <w:rsid w:val="006A0DE8"/>
    <w:rsid w:val="006A1331"/>
    <w:rsid w:val="006A14AE"/>
    <w:rsid w:val="006A185D"/>
    <w:rsid w:val="006A2333"/>
    <w:rsid w:val="006A23D3"/>
    <w:rsid w:val="006A38F5"/>
    <w:rsid w:val="006A3903"/>
    <w:rsid w:val="006A3F08"/>
    <w:rsid w:val="006A4A9C"/>
    <w:rsid w:val="006A4D43"/>
    <w:rsid w:val="006A5441"/>
    <w:rsid w:val="006A5A30"/>
    <w:rsid w:val="006A6325"/>
    <w:rsid w:val="006A6E1D"/>
    <w:rsid w:val="006A71A2"/>
    <w:rsid w:val="006A72F2"/>
    <w:rsid w:val="006A742B"/>
    <w:rsid w:val="006A757A"/>
    <w:rsid w:val="006A77B9"/>
    <w:rsid w:val="006A7A0B"/>
    <w:rsid w:val="006B0328"/>
    <w:rsid w:val="006B15F7"/>
    <w:rsid w:val="006B169E"/>
    <w:rsid w:val="006B177F"/>
    <w:rsid w:val="006B1A42"/>
    <w:rsid w:val="006B1A89"/>
    <w:rsid w:val="006B2842"/>
    <w:rsid w:val="006B2E90"/>
    <w:rsid w:val="006B2E9F"/>
    <w:rsid w:val="006B32AB"/>
    <w:rsid w:val="006B33B4"/>
    <w:rsid w:val="006B36CF"/>
    <w:rsid w:val="006B388A"/>
    <w:rsid w:val="006B4200"/>
    <w:rsid w:val="006B4253"/>
    <w:rsid w:val="006B43EC"/>
    <w:rsid w:val="006B5691"/>
    <w:rsid w:val="006B58E6"/>
    <w:rsid w:val="006B6272"/>
    <w:rsid w:val="006B652D"/>
    <w:rsid w:val="006B65A7"/>
    <w:rsid w:val="006B67CF"/>
    <w:rsid w:val="006B682E"/>
    <w:rsid w:val="006B68E0"/>
    <w:rsid w:val="006B6C95"/>
    <w:rsid w:val="006B6F8B"/>
    <w:rsid w:val="006B72FB"/>
    <w:rsid w:val="006B7F66"/>
    <w:rsid w:val="006C0D2E"/>
    <w:rsid w:val="006C1910"/>
    <w:rsid w:val="006C1AC7"/>
    <w:rsid w:val="006C209F"/>
    <w:rsid w:val="006C2544"/>
    <w:rsid w:val="006C2606"/>
    <w:rsid w:val="006C320A"/>
    <w:rsid w:val="006C32DC"/>
    <w:rsid w:val="006C3577"/>
    <w:rsid w:val="006C3638"/>
    <w:rsid w:val="006C37F9"/>
    <w:rsid w:val="006C3998"/>
    <w:rsid w:val="006C3D69"/>
    <w:rsid w:val="006C3EC7"/>
    <w:rsid w:val="006C41F8"/>
    <w:rsid w:val="006C4252"/>
    <w:rsid w:val="006C49B0"/>
    <w:rsid w:val="006C4A97"/>
    <w:rsid w:val="006C4BC8"/>
    <w:rsid w:val="006C4E53"/>
    <w:rsid w:val="006C512F"/>
    <w:rsid w:val="006C545B"/>
    <w:rsid w:val="006C5531"/>
    <w:rsid w:val="006C56DA"/>
    <w:rsid w:val="006C5846"/>
    <w:rsid w:val="006C58F9"/>
    <w:rsid w:val="006C60BC"/>
    <w:rsid w:val="006C60D0"/>
    <w:rsid w:val="006C6243"/>
    <w:rsid w:val="006C6511"/>
    <w:rsid w:val="006C655B"/>
    <w:rsid w:val="006C6775"/>
    <w:rsid w:val="006C6F8F"/>
    <w:rsid w:val="006C76FB"/>
    <w:rsid w:val="006C79C1"/>
    <w:rsid w:val="006C7B8A"/>
    <w:rsid w:val="006C7BD1"/>
    <w:rsid w:val="006D001F"/>
    <w:rsid w:val="006D087D"/>
    <w:rsid w:val="006D12D0"/>
    <w:rsid w:val="006D1668"/>
    <w:rsid w:val="006D1884"/>
    <w:rsid w:val="006D1972"/>
    <w:rsid w:val="006D19FD"/>
    <w:rsid w:val="006D1A13"/>
    <w:rsid w:val="006D1F1E"/>
    <w:rsid w:val="006D2285"/>
    <w:rsid w:val="006D329F"/>
    <w:rsid w:val="006D32F6"/>
    <w:rsid w:val="006D34CC"/>
    <w:rsid w:val="006D4362"/>
    <w:rsid w:val="006D49AC"/>
    <w:rsid w:val="006D4A96"/>
    <w:rsid w:val="006D4AA0"/>
    <w:rsid w:val="006D4B3F"/>
    <w:rsid w:val="006D4C62"/>
    <w:rsid w:val="006D547A"/>
    <w:rsid w:val="006D554A"/>
    <w:rsid w:val="006D56A5"/>
    <w:rsid w:val="006D5A84"/>
    <w:rsid w:val="006D5B3B"/>
    <w:rsid w:val="006D5C23"/>
    <w:rsid w:val="006D60C2"/>
    <w:rsid w:val="006D629F"/>
    <w:rsid w:val="006D67AC"/>
    <w:rsid w:val="006D67E2"/>
    <w:rsid w:val="006D698F"/>
    <w:rsid w:val="006D6D66"/>
    <w:rsid w:val="006D712C"/>
    <w:rsid w:val="006D72D6"/>
    <w:rsid w:val="006D7AA0"/>
    <w:rsid w:val="006D7ADA"/>
    <w:rsid w:val="006D7B17"/>
    <w:rsid w:val="006E016F"/>
    <w:rsid w:val="006E077F"/>
    <w:rsid w:val="006E0BC7"/>
    <w:rsid w:val="006E0D0F"/>
    <w:rsid w:val="006E1047"/>
    <w:rsid w:val="006E1373"/>
    <w:rsid w:val="006E16AE"/>
    <w:rsid w:val="006E1820"/>
    <w:rsid w:val="006E237B"/>
    <w:rsid w:val="006E29A5"/>
    <w:rsid w:val="006E3763"/>
    <w:rsid w:val="006E37A9"/>
    <w:rsid w:val="006E38D8"/>
    <w:rsid w:val="006E3916"/>
    <w:rsid w:val="006E3A5D"/>
    <w:rsid w:val="006E3FBB"/>
    <w:rsid w:val="006E4250"/>
    <w:rsid w:val="006E43AD"/>
    <w:rsid w:val="006E45C9"/>
    <w:rsid w:val="006E4C13"/>
    <w:rsid w:val="006E4C77"/>
    <w:rsid w:val="006E4D35"/>
    <w:rsid w:val="006E638A"/>
    <w:rsid w:val="006E6450"/>
    <w:rsid w:val="006E66B8"/>
    <w:rsid w:val="006E67C8"/>
    <w:rsid w:val="006E69CC"/>
    <w:rsid w:val="006E6A83"/>
    <w:rsid w:val="006E6BD0"/>
    <w:rsid w:val="006E6C7A"/>
    <w:rsid w:val="006E6E90"/>
    <w:rsid w:val="006E7C12"/>
    <w:rsid w:val="006F07C5"/>
    <w:rsid w:val="006F0849"/>
    <w:rsid w:val="006F0A20"/>
    <w:rsid w:val="006F0A2B"/>
    <w:rsid w:val="006F0BE7"/>
    <w:rsid w:val="006F0E5F"/>
    <w:rsid w:val="006F1312"/>
    <w:rsid w:val="006F1D3B"/>
    <w:rsid w:val="006F1D7D"/>
    <w:rsid w:val="006F1DDA"/>
    <w:rsid w:val="006F1EFB"/>
    <w:rsid w:val="006F265F"/>
    <w:rsid w:val="006F286F"/>
    <w:rsid w:val="006F2D2E"/>
    <w:rsid w:val="006F32B3"/>
    <w:rsid w:val="006F3389"/>
    <w:rsid w:val="006F41C3"/>
    <w:rsid w:val="006F44B3"/>
    <w:rsid w:val="006F460E"/>
    <w:rsid w:val="006F4DBC"/>
    <w:rsid w:val="006F5135"/>
    <w:rsid w:val="006F54CC"/>
    <w:rsid w:val="006F5528"/>
    <w:rsid w:val="006F552B"/>
    <w:rsid w:val="006F5782"/>
    <w:rsid w:val="006F5850"/>
    <w:rsid w:val="006F5969"/>
    <w:rsid w:val="006F6039"/>
    <w:rsid w:val="006F6255"/>
    <w:rsid w:val="006F6659"/>
    <w:rsid w:val="006F70B7"/>
    <w:rsid w:val="006F70F5"/>
    <w:rsid w:val="006F71DA"/>
    <w:rsid w:val="006F7553"/>
    <w:rsid w:val="006F79AB"/>
    <w:rsid w:val="006F7E8D"/>
    <w:rsid w:val="006F7EFA"/>
    <w:rsid w:val="007005DF"/>
    <w:rsid w:val="0070078C"/>
    <w:rsid w:val="0070081B"/>
    <w:rsid w:val="007009F8"/>
    <w:rsid w:val="00700C8C"/>
    <w:rsid w:val="0070113A"/>
    <w:rsid w:val="0070184A"/>
    <w:rsid w:val="00701A88"/>
    <w:rsid w:val="00701ACD"/>
    <w:rsid w:val="00701B21"/>
    <w:rsid w:val="00701CE7"/>
    <w:rsid w:val="00701D40"/>
    <w:rsid w:val="007024F0"/>
    <w:rsid w:val="007026C0"/>
    <w:rsid w:val="007026D6"/>
    <w:rsid w:val="00702909"/>
    <w:rsid w:val="00702CAC"/>
    <w:rsid w:val="007032DC"/>
    <w:rsid w:val="007032E8"/>
    <w:rsid w:val="007034AA"/>
    <w:rsid w:val="00703E35"/>
    <w:rsid w:val="00704168"/>
    <w:rsid w:val="00704686"/>
    <w:rsid w:val="00704C82"/>
    <w:rsid w:val="00704E4F"/>
    <w:rsid w:val="00705934"/>
    <w:rsid w:val="00705989"/>
    <w:rsid w:val="00705BDB"/>
    <w:rsid w:val="00705C33"/>
    <w:rsid w:val="00705FBF"/>
    <w:rsid w:val="007060FE"/>
    <w:rsid w:val="007067B3"/>
    <w:rsid w:val="007069DC"/>
    <w:rsid w:val="00706F15"/>
    <w:rsid w:val="007077B6"/>
    <w:rsid w:val="00707885"/>
    <w:rsid w:val="00707EF0"/>
    <w:rsid w:val="00710043"/>
    <w:rsid w:val="00710138"/>
    <w:rsid w:val="007105EE"/>
    <w:rsid w:val="00710798"/>
    <w:rsid w:val="007109B3"/>
    <w:rsid w:val="00710A63"/>
    <w:rsid w:val="00710C6F"/>
    <w:rsid w:val="00710E30"/>
    <w:rsid w:val="0071128B"/>
    <w:rsid w:val="00711472"/>
    <w:rsid w:val="0071175D"/>
    <w:rsid w:val="00711895"/>
    <w:rsid w:val="007119C8"/>
    <w:rsid w:val="00711ECE"/>
    <w:rsid w:val="00711FDE"/>
    <w:rsid w:val="007130A0"/>
    <w:rsid w:val="00713159"/>
    <w:rsid w:val="007133FE"/>
    <w:rsid w:val="00713598"/>
    <w:rsid w:val="0071382D"/>
    <w:rsid w:val="00713884"/>
    <w:rsid w:val="00713A65"/>
    <w:rsid w:val="00714100"/>
    <w:rsid w:val="00714199"/>
    <w:rsid w:val="007142F6"/>
    <w:rsid w:val="007149A9"/>
    <w:rsid w:val="00714BA7"/>
    <w:rsid w:val="00714DD2"/>
    <w:rsid w:val="00715AAF"/>
    <w:rsid w:val="00715B0A"/>
    <w:rsid w:val="00715F66"/>
    <w:rsid w:val="0071610F"/>
    <w:rsid w:val="0071667E"/>
    <w:rsid w:val="007166D2"/>
    <w:rsid w:val="00716880"/>
    <w:rsid w:val="00716A9D"/>
    <w:rsid w:val="00716AF5"/>
    <w:rsid w:val="00716D7F"/>
    <w:rsid w:val="007170CB"/>
    <w:rsid w:val="007174AD"/>
    <w:rsid w:val="007176DA"/>
    <w:rsid w:val="007200B1"/>
    <w:rsid w:val="00720B8D"/>
    <w:rsid w:val="00720B93"/>
    <w:rsid w:val="00720E47"/>
    <w:rsid w:val="00721197"/>
    <w:rsid w:val="00721205"/>
    <w:rsid w:val="00721638"/>
    <w:rsid w:val="00721651"/>
    <w:rsid w:val="00721691"/>
    <w:rsid w:val="00721B73"/>
    <w:rsid w:val="00722486"/>
    <w:rsid w:val="00722829"/>
    <w:rsid w:val="00722C14"/>
    <w:rsid w:val="00723705"/>
    <w:rsid w:val="0072384A"/>
    <w:rsid w:val="007238C7"/>
    <w:rsid w:val="00723D55"/>
    <w:rsid w:val="00724227"/>
    <w:rsid w:val="00724AC4"/>
    <w:rsid w:val="00724C04"/>
    <w:rsid w:val="00724C3A"/>
    <w:rsid w:val="00724F94"/>
    <w:rsid w:val="0072534C"/>
    <w:rsid w:val="0072540F"/>
    <w:rsid w:val="00725625"/>
    <w:rsid w:val="00725702"/>
    <w:rsid w:val="00725A9C"/>
    <w:rsid w:val="00726775"/>
    <w:rsid w:val="00726A4E"/>
    <w:rsid w:val="00727874"/>
    <w:rsid w:val="00727C3E"/>
    <w:rsid w:val="00727C66"/>
    <w:rsid w:val="00727CF5"/>
    <w:rsid w:val="0073032D"/>
    <w:rsid w:val="00730794"/>
    <w:rsid w:val="00730BFB"/>
    <w:rsid w:val="007314F8"/>
    <w:rsid w:val="00731535"/>
    <w:rsid w:val="00731622"/>
    <w:rsid w:val="00731678"/>
    <w:rsid w:val="00731E16"/>
    <w:rsid w:val="00732242"/>
    <w:rsid w:val="00732754"/>
    <w:rsid w:val="007329C6"/>
    <w:rsid w:val="00732E93"/>
    <w:rsid w:val="0073345B"/>
    <w:rsid w:val="00733BB0"/>
    <w:rsid w:val="00733BB7"/>
    <w:rsid w:val="007342C2"/>
    <w:rsid w:val="00734F3A"/>
    <w:rsid w:val="00735506"/>
    <w:rsid w:val="00736434"/>
    <w:rsid w:val="00736754"/>
    <w:rsid w:val="00736B15"/>
    <w:rsid w:val="00736D52"/>
    <w:rsid w:val="0073732B"/>
    <w:rsid w:val="00737584"/>
    <w:rsid w:val="007377F9"/>
    <w:rsid w:val="00737AC2"/>
    <w:rsid w:val="00740627"/>
    <w:rsid w:val="00740D0B"/>
    <w:rsid w:val="00741174"/>
    <w:rsid w:val="00741185"/>
    <w:rsid w:val="007411BA"/>
    <w:rsid w:val="00741476"/>
    <w:rsid w:val="00741869"/>
    <w:rsid w:val="00741A0D"/>
    <w:rsid w:val="0074205F"/>
    <w:rsid w:val="007420AA"/>
    <w:rsid w:val="0074248F"/>
    <w:rsid w:val="007428D4"/>
    <w:rsid w:val="00742B89"/>
    <w:rsid w:val="00742C0B"/>
    <w:rsid w:val="00743050"/>
    <w:rsid w:val="0074383C"/>
    <w:rsid w:val="0074418E"/>
    <w:rsid w:val="007441AA"/>
    <w:rsid w:val="00744662"/>
    <w:rsid w:val="00744948"/>
    <w:rsid w:val="00745109"/>
    <w:rsid w:val="00745870"/>
    <w:rsid w:val="00745A36"/>
    <w:rsid w:val="00745EE3"/>
    <w:rsid w:val="007464DE"/>
    <w:rsid w:val="007465DD"/>
    <w:rsid w:val="00746DD4"/>
    <w:rsid w:val="0074784F"/>
    <w:rsid w:val="007479EF"/>
    <w:rsid w:val="00747DBC"/>
    <w:rsid w:val="00750167"/>
    <w:rsid w:val="00750388"/>
    <w:rsid w:val="00750441"/>
    <w:rsid w:val="00750647"/>
    <w:rsid w:val="0075076B"/>
    <w:rsid w:val="00750934"/>
    <w:rsid w:val="0075095C"/>
    <w:rsid w:val="00750B87"/>
    <w:rsid w:val="00750BBA"/>
    <w:rsid w:val="00750D7F"/>
    <w:rsid w:val="00750E3B"/>
    <w:rsid w:val="00751A4A"/>
    <w:rsid w:val="00751A76"/>
    <w:rsid w:val="00751CB1"/>
    <w:rsid w:val="00751E0A"/>
    <w:rsid w:val="00752201"/>
    <w:rsid w:val="00752B7D"/>
    <w:rsid w:val="00752BD0"/>
    <w:rsid w:val="00753014"/>
    <w:rsid w:val="00753325"/>
    <w:rsid w:val="00753575"/>
    <w:rsid w:val="007538D7"/>
    <w:rsid w:val="0075401E"/>
    <w:rsid w:val="00754057"/>
    <w:rsid w:val="0075426C"/>
    <w:rsid w:val="00754389"/>
    <w:rsid w:val="00754659"/>
    <w:rsid w:val="007549D5"/>
    <w:rsid w:val="00754C00"/>
    <w:rsid w:val="007558B2"/>
    <w:rsid w:val="00755922"/>
    <w:rsid w:val="00755C4F"/>
    <w:rsid w:val="00755D63"/>
    <w:rsid w:val="00755E8C"/>
    <w:rsid w:val="00755F24"/>
    <w:rsid w:val="0075620D"/>
    <w:rsid w:val="007562A4"/>
    <w:rsid w:val="0075653A"/>
    <w:rsid w:val="0075669C"/>
    <w:rsid w:val="00756949"/>
    <w:rsid w:val="00756EA1"/>
    <w:rsid w:val="00756FA2"/>
    <w:rsid w:val="007570EA"/>
    <w:rsid w:val="00757491"/>
    <w:rsid w:val="007577E3"/>
    <w:rsid w:val="00757AFA"/>
    <w:rsid w:val="00757CF9"/>
    <w:rsid w:val="007601B1"/>
    <w:rsid w:val="00760556"/>
    <w:rsid w:val="00760A57"/>
    <w:rsid w:val="00760A76"/>
    <w:rsid w:val="00760AEE"/>
    <w:rsid w:val="00760B57"/>
    <w:rsid w:val="00761508"/>
    <w:rsid w:val="0076168A"/>
    <w:rsid w:val="00761785"/>
    <w:rsid w:val="007618BB"/>
    <w:rsid w:val="0076191A"/>
    <w:rsid w:val="00761DE9"/>
    <w:rsid w:val="00762122"/>
    <w:rsid w:val="0076244C"/>
    <w:rsid w:val="00762627"/>
    <w:rsid w:val="00762695"/>
    <w:rsid w:val="00762831"/>
    <w:rsid w:val="0076293E"/>
    <w:rsid w:val="00762F01"/>
    <w:rsid w:val="00763581"/>
    <w:rsid w:val="00763A58"/>
    <w:rsid w:val="00763BBB"/>
    <w:rsid w:val="00763F19"/>
    <w:rsid w:val="0076436E"/>
    <w:rsid w:val="0076447C"/>
    <w:rsid w:val="0076463A"/>
    <w:rsid w:val="00764FC1"/>
    <w:rsid w:val="007651E9"/>
    <w:rsid w:val="0076596A"/>
    <w:rsid w:val="00766537"/>
    <w:rsid w:val="007665A0"/>
    <w:rsid w:val="0076690D"/>
    <w:rsid w:val="0076732F"/>
    <w:rsid w:val="007676A3"/>
    <w:rsid w:val="00767824"/>
    <w:rsid w:val="007679CC"/>
    <w:rsid w:val="00767B6E"/>
    <w:rsid w:val="00770433"/>
    <w:rsid w:val="00770D2B"/>
    <w:rsid w:val="007716FE"/>
    <w:rsid w:val="00771986"/>
    <w:rsid w:val="00771CC1"/>
    <w:rsid w:val="00771D68"/>
    <w:rsid w:val="007720E2"/>
    <w:rsid w:val="007726E3"/>
    <w:rsid w:val="007729AC"/>
    <w:rsid w:val="00772C7E"/>
    <w:rsid w:val="007730AD"/>
    <w:rsid w:val="00773707"/>
    <w:rsid w:val="00773DB2"/>
    <w:rsid w:val="00773E7E"/>
    <w:rsid w:val="007741C6"/>
    <w:rsid w:val="00774760"/>
    <w:rsid w:val="00774FD6"/>
    <w:rsid w:val="007750A8"/>
    <w:rsid w:val="00775C3C"/>
    <w:rsid w:val="00775C6A"/>
    <w:rsid w:val="007763C5"/>
    <w:rsid w:val="0077668C"/>
    <w:rsid w:val="00776B70"/>
    <w:rsid w:val="00776C6B"/>
    <w:rsid w:val="00776F5E"/>
    <w:rsid w:val="007778BB"/>
    <w:rsid w:val="00777E02"/>
    <w:rsid w:val="00777E22"/>
    <w:rsid w:val="00777FC8"/>
    <w:rsid w:val="007800C3"/>
    <w:rsid w:val="0078088D"/>
    <w:rsid w:val="00780C10"/>
    <w:rsid w:val="007811EE"/>
    <w:rsid w:val="007813FD"/>
    <w:rsid w:val="00781422"/>
    <w:rsid w:val="0078180D"/>
    <w:rsid w:val="00781EEF"/>
    <w:rsid w:val="00781FA5"/>
    <w:rsid w:val="00782936"/>
    <w:rsid w:val="00782BFA"/>
    <w:rsid w:val="00782C2E"/>
    <w:rsid w:val="00782CB2"/>
    <w:rsid w:val="00782E60"/>
    <w:rsid w:val="00782ED9"/>
    <w:rsid w:val="00783061"/>
    <w:rsid w:val="00783131"/>
    <w:rsid w:val="00783607"/>
    <w:rsid w:val="00783B67"/>
    <w:rsid w:val="00783CA6"/>
    <w:rsid w:val="007840C8"/>
    <w:rsid w:val="0078428E"/>
    <w:rsid w:val="007844B0"/>
    <w:rsid w:val="00784788"/>
    <w:rsid w:val="00784F7E"/>
    <w:rsid w:val="00785371"/>
    <w:rsid w:val="00785485"/>
    <w:rsid w:val="00785826"/>
    <w:rsid w:val="00785922"/>
    <w:rsid w:val="007859CD"/>
    <w:rsid w:val="007859D8"/>
    <w:rsid w:val="00785CBD"/>
    <w:rsid w:val="00785F2E"/>
    <w:rsid w:val="0078616D"/>
    <w:rsid w:val="00786446"/>
    <w:rsid w:val="007867FA"/>
    <w:rsid w:val="007869F1"/>
    <w:rsid w:val="00786E47"/>
    <w:rsid w:val="00786F76"/>
    <w:rsid w:val="0078711C"/>
    <w:rsid w:val="007873EC"/>
    <w:rsid w:val="00787F0D"/>
    <w:rsid w:val="007902A4"/>
    <w:rsid w:val="00790371"/>
    <w:rsid w:val="00790907"/>
    <w:rsid w:val="00790C62"/>
    <w:rsid w:val="00790DCB"/>
    <w:rsid w:val="00790E98"/>
    <w:rsid w:val="007916AA"/>
    <w:rsid w:val="00791DFD"/>
    <w:rsid w:val="00791E78"/>
    <w:rsid w:val="00791F10"/>
    <w:rsid w:val="00791FB1"/>
    <w:rsid w:val="00792103"/>
    <w:rsid w:val="0079227F"/>
    <w:rsid w:val="0079278F"/>
    <w:rsid w:val="00792B66"/>
    <w:rsid w:val="00792F6A"/>
    <w:rsid w:val="007932FA"/>
    <w:rsid w:val="00793532"/>
    <w:rsid w:val="0079367A"/>
    <w:rsid w:val="007936EB"/>
    <w:rsid w:val="0079375D"/>
    <w:rsid w:val="00793B3F"/>
    <w:rsid w:val="00794187"/>
    <w:rsid w:val="00794E05"/>
    <w:rsid w:val="00794E0C"/>
    <w:rsid w:val="0079513D"/>
    <w:rsid w:val="00795274"/>
    <w:rsid w:val="0079537D"/>
    <w:rsid w:val="007953AD"/>
    <w:rsid w:val="00795B9A"/>
    <w:rsid w:val="00795FFE"/>
    <w:rsid w:val="00796998"/>
    <w:rsid w:val="00796BD4"/>
    <w:rsid w:val="00796C04"/>
    <w:rsid w:val="00797192"/>
    <w:rsid w:val="0079749C"/>
    <w:rsid w:val="007974D3"/>
    <w:rsid w:val="00797879"/>
    <w:rsid w:val="00797A95"/>
    <w:rsid w:val="00797DA6"/>
    <w:rsid w:val="007A0181"/>
    <w:rsid w:val="007A02C8"/>
    <w:rsid w:val="007A054B"/>
    <w:rsid w:val="007A092E"/>
    <w:rsid w:val="007A0A2F"/>
    <w:rsid w:val="007A0A3C"/>
    <w:rsid w:val="007A0EA7"/>
    <w:rsid w:val="007A1722"/>
    <w:rsid w:val="007A17D9"/>
    <w:rsid w:val="007A1864"/>
    <w:rsid w:val="007A1C1D"/>
    <w:rsid w:val="007A23DB"/>
    <w:rsid w:val="007A2437"/>
    <w:rsid w:val="007A2D80"/>
    <w:rsid w:val="007A2F0C"/>
    <w:rsid w:val="007A301D"/>
    <w:rsid w:val="007A30DC"/>
    <w:rsid w:val="007A3A04"/>
    <w:rsid w:val="007A3DDC"/>
    <w:rsid w:val="007A3FAA"/>
    <w:rsid w:val="007A4149"/>
    <w:rsid w:val="007A4538"/>
    <w:rsid w:val="007A47E6"/>
    <w:rsid w:val="007A48C1"/>
    <w:rsid w:val="007A509A"/>
    <w:rsid w:val="007A54A9"/>
    <w:rsid w:val="007A589A"/>
    <w:rsid w:val="007A6928"/>
    <w:rsid w:val="007A6A55"/>
    <w:rsid w:val="007A6B9A"/>
    <w:rsid w:val="007A6CD4"/>
    <w:rsid w:val="007A7425"/>
    <w:rsid w:val="007A76CD"/>
    <w:rsid w:val="007A79E2"/>
    <w:rsid w:val="007A7F70"/>
    <w:rsid w:val="007B00C2"/>
    <w:rsid w:val="007B04D9"/>
    <w:rsid w:val="007B06C1"/>
    <w:rsid w:val="007B083C"/>
    <w:rsid w:val="007B0879"/>
    <w:rsid w:val="007B0ADF"/>
    <w:rsid w:val="007B0E7A"/>
    <w:rsid w:val="007B0EA0"/>
    <w:rsid w:val="007B112B"/>
    <w:rsid w:val="007B1340"/>
    <w:rsid w:val="007B15BE"/>
    <w:rsid w:val="007B186E"/>
    <w:rsid w:val="007B2126"/>
    <w:rsid w:val="007B2224"/>
    <w:rsid w:val="007B26D2"/>
    <w:rsid w:val="007B2A5B"/>
    <w:rsid w:val="007B2BBC"/>
    <w:rsid w:val="007B30FF"/>
    <w:rsid w:val="007B3242"/>
    <w:rsid w:val="007B3524"/>
    <w:rsid w:val="007B35AF"/>
    <w:rsid w:val="007B36AD"/>
    <w:rsid w:val="007B3898"/>
    <w:rsid w:val="007B3A78"/>
    <w:rsid w:val="007B4E30"/>
    <w:rsid w:val="007B4FF3"/>
    <w:rsid w:val="007B53E5"/>
    <w:rsid w:val="007B5763"/>
    <w:rsid w:val="007B5771"/>
    <w:rsid w:val="007B5907"/>
    <w:rsid w:val="007B5B93"/>
    <w:rsid w:val="007B5EBA"/>
    <w:rsid w:val="007B6296"/>
    <w:rsid w:val="007B6D98"/>
    <w:rsid w:val="007B70FB"/>
    <w:rsid w:val="007B748C"/>
    <w:rsid w:val="007B78A2"/>
    <w:rsid w:val="007C0362"/>
    <w:rsid w:val="007C0382"/>
    <w:rsid w:val="007C04D7"/>
    <w:rsid w:val="007C0A80"/>
    <w:rsid w:val="007C0BEF"/>
    <w:rsid w:val="007C1072"/>
    <w:rsid w:val="007C142A"/>
    <w:rsid w:val="007C14A5"/>
    <w:rsid w:val="007C1C58"/>
    <w:rsid w:val="007C1F67"/>
    <w:rsid w:val="007C3008"/>
    <w:rsid w:val="007C34AF"/>
    <w:rsid w:val="007C35C3"/>
    <w:rsid w:val="007C392D"/>
    <w:rsid w:val="007C3960"/>
    <w:rsid w:val="007C3C7A"/>
    <w:rsid w:val="007C418C"/>
    <w:rsid w:val="007C42BA"/>
    <w:rsid w:val="007C48DA"/>
    <w:rsid w:val="007C5125"/>
    <w:rsid w:val="007C573A"/>
    <w:rsid w:val="007C5967"/>
    <w:rsid w:val="007C6182"/>
    <w:rsid w:val="007C65E8"/>
    <w:rsid w:val="007C752D"/>
    <w:rsid w:val="007C78EB"/>
    <w:rsid w:val="007D007F"/>
    <w:rsid w:val="007D0293"/>
    <w:rsid w:val="007D07B2"/>
    <w:rsid w:val="007D07F3"/>
    <w:rsid w:val="007D0E23"/>
    <w:rsid w:val="007D1222"/>
    <w:rsid w:val="007D1A83"/>
    <w:rsid w:val="007D1DA4"/>
    <w:rsid w:val="007D244F"/>
    <w:rsid w:val="007D29A4"/>
    <w:rsid w:val="007D29D3"/>
    <w:rsid w:val="007D2E8C"/>
    <w:rsid w:val="007D34E2"/>
    <w:rsid w:val="007D36A7"/>
    <w:rsid w:val="007D3827"/>
    <w:rsid w:val="007D3CD8"/>
    <w:rsid w:val="007D408C"/>
    <w:rsid w:val="007D425C"/>
    <w:rsid w:val="007D45E7"/>
    <w:rsid w:val="007D46CD"/>
    <w:rsid w:val="007D4C5A"/>
    <w:rsid w:val="007D50FF"/>
    <w:rsid w:val="007D5184"/>
    <w:rsid w:val="007D55CB"/>
    <w:rsid w:val="007D566B"/>
    <w:rsid w:val="007D5D9F"/>
    <w:rsid w:val="007D69C0"/>
    <w:rsid w:val="007D6AB2"/>
    <w:rsid w:val="007D7A2E"/>
    <w:rsid w:val="007D7C0A"/>
    <w:rsid w:val="007E030B"/>
    <w:rsid w:val="007E0721"/>
    <w:rsid w:val="007E09DD"/>
    <w:rsid w:val="007E0ABB"/>
    <w:rsid w:val="007E0CD5"/>
    <w:rsid w:val="007E0FF8"/>
    <w:rsid w:val="007E1229"/>
    <w:rsid w:val="007E1778"/>
    <w:rsid w:val="007E1DE4"/>
    <w:rsid w:val="007E239B"/>
    <w:rsid w:val="007E26AE"/>
    <w:rsid w:val="007E2C69"/>
    <w:rsid w:val="007E32E3"/>
    <w:rsid w:val="007E39ED"/>
    <w:rsid w:val="007E3BA0"/>
    <w:rsid w:val="007E3E99"/>
    <w:rsid w:val="007E451B"/>
    <w:rsid w:val="007E4946"/>
    <w:rsid w:val="007E497B"/>
    <w:rsid w:val="007E4D95"/>
    <w:rsid w:val="007E4F1D"/>
    <w:rsid w:val="007E57A6"/>
    <w:rsid w:val="007E5A5B"/>
    <w:rsid w:val="007E60F0"/>
    <w:rsid w:val="007E6B4A"/>
    <w:rsid w:val="007E6C59"/>
    <w:rsid w:val="007E6F56"/>
    <w:rsid w:val="007E706F"/>
    <w:rsid w:val="007E707F"/>
    <w:rsid w:val="007E7F22"/>
    <w:rsid w:val="007F007B"/>
    <w:rsid w:val="007F01D2"/>
    <w:rsid w:val="007F043A"/>
    <w:rsid w:val="007F0641"/>
    <w:rsid w:val="007F1151"/>
    <w:rsid w:val="007F122B"/>
    <w:rsid w:val="007F13B3"/>
    <w:rsid w:val="007F1411"/>
    <w:rsid w:val="007F165A"/>
    <w:rsid w:val="007F1DA0"/>
    <w:rsid w:val="007F23CB"/>
    <w:rsid w:val="007F264F"/>
    <w:rsid w:val="007F2DAE"/>
    <w:rsid w:val="007F2F49"/>
    <w:rsid w:val="007F2F54"/>
    <w:rsid w:val="007F2F65"/>
    <w:rsid w:val="007F3038"/>
    <w:rsid w:val="007F30B6"/>
    <w:rsid w:val="007F32FE"/>
    <w:rsid w:val="007F37DF"/>
    <w:rsid w:val="007F3AA0"/>
    <w:rsid w:val="007F3BED"/>
    <w:rsid w:val="007F4895"/>
    <w:rsid w:val="007F4A25"/>
    <w:rsid w:val="007F5819"/>
    <w:rsid w:val="007F58FB"/>
    <w:rsid w:val="007F5F6A"/>
    <w:rsid w:val="007F6627"/>
    <w:rsid w:val="007F6642"/>
    <w:rsid w:val="007F6C1E"/>
    <w:rsid w:val="007F6CB6"/>
    <w:rsid w:val="007F6D2F"/>
    <w:rsid w:val="007F7166"/>
    <w:rsid w:val="007F7507"/>
    <w:rsid w:val="007F7A92"/>
    <w:rsid w:val="007F7ACF"/>
    <w:rsid w:val="007F7C79"/>
    <w:rsid w:val="0080008D"/>
    <w:rsid w:val="00800214"/>
    <w:rsid w:val="008009F2"/>
    <w:rsid w:val="00800A28"/>
    <w:rsid w:val="00801748"/>
    <w:rsid w:val="008020DD"/>
    <w:rsid w:val="008020FE"/>
    <w:rsid w:val="00802ECC"/>
    <w:rsid w:val="008030CC"/>
    <w:rsid w:val="008035D0"/>
    <w:rsid w:val="00803FCE"/>
    <w:rsid w:val="0080495F"/>
    <w:rsid w:val="00804E3F"/>
    <w:rsid w:val="00805060"/>
    <w:rsid w:val="00805273"/>
    <w:rsid w:val="00805483"/>
    <w:rsid w:val="008058B1"/>
    <w:rsid w:val="00805E1D"/>
    <w:rsid w:val="008063E1"/>
    <w:rsid w:val="00807044"/>
    <w:rsid w:val="008072E4"/>
    <w:rsid w:val="008076DD"/>
    <w:rsid w:val="0081085D"/>
    <w:rsid w:val="00810A4B"/>
    <w:rsid w:val="00810CA6"/>
    <w:rsid w:val="00810D0B"/>
    <w:rsid w:val="00811086"/>
    <w:rsid w:val="008113CC"/>
    <w:rsid w:val="00812031"/>
    <w:rsid w:val="00812846"/>
    <w:rsid w:val="008128B7"/>
    <w:rsid w:val="008129EC"/>
    <w:rsid w:val="00812F87"/>
    <w:rsid w:val="00813297"/>
    <w:rsid w:val="00813605"/>
    <w:rsid w:val="0081382C"/>
    <w:rsid w:val="00813F62"/>
    <w:rsid w:val="0081405E"/>
    <w:rsid w:val="008143A1"/>
    <w:rsid w:val="00814951"/>
    <w:rsid w:val="00814AF7"/>
    <w:rsid w:val="00814B8C"/>
    <w:rsid w:val="00814C77"/>
    <w:rsid w:val="00814D98"/>
    <w:rsid w:val="00815111"/>
    <w:rsid w:val="00816069"/>
    <w:rsid w:val="00816CEB"/>
    <w:rsid w:val="00816E4D"/>
    <w:rsid w:val="00816EBE"/>
    <w:rsid w:val="00816F44"/>
    <w:rsid w:val="00816FCD"/>
    <w:rsid w:val="00817583"/>
    <w:rsid w:val="00817850"/>
    <w:rsid w:val="00820040"/>
    <w:rsid w:val="0082014E"/>
    <w:rsid w:val="008206C1"/>
    <w:rsid w:val="00820A92"/>
    <w:rsid w:val="00820AB6"/>
    <w:rsid w:val="00821358"/>
    <w:rsid w:val="008218D0"/>
    <w:rsid w:val="00821AC0"/>
    <w:rsid w:val="008223B3"/>
    <w:rsid w:val="008224A7"/>
    <w:rsid w:val="00822B1E"/>
    <w:rsid w:val="0082342B"/>
    <w:rsid w:val="00823937"/>
    <w:rsid w:val="00823A8A"/>
    <w:rsid w:val="00823A9E"/>
    <w:rsid w:val="00823AFD"/>
    <w:rsid w:val="00823B4B"/>
    <w:rsid w:val="00823E8C"/>
    <w:rsid w:val="00823F36"/>
    <w:rsid w:val="00824FE4"/>
    <w:rsid w:val="008251CF"/>
    <w:rsid w:val="00825931"/>
    <w:rsid w:val="00825F94"/>
    <w:rsid w:val="0082600E"/>
    <w:rsid w:val="00826103"/>
    <w:rsid w:val="00826668"/>
    <w:rsid w:val="00826C8F"/>
    <w:rsid w:val="00826D96"/>
    <w:rsid w:val="00827000"/>
    <w:rsid w:val="008277CA"/>
    <w:rsid w:val="00827AD4"/>
    <w:rsid w:val="00830DCF"/>
    <w:rsid w:val="00831077"/>
    <w:rsid w:val="0083166C"/>
    <w:rsid w:val="008316AC"/>
    <w:rsid w:val="008319CF"/>
    <w:rsid w:val="00831A66"/>
    <w:rsid w:val="00831B3D"/>
    <w:rsid w:val="008324AA"/>
    <w:rsid w:val="00832983"/>
    <w:rsid w:val="00832C13"/>
    <w:rsid w:val="00833007"/>
    <w:rsid w:val="008331AD"/>
    <w:rsid w:val="00833984"/>
    <w:rsid w:val="008339EF"/>
    <w:rsid w:val="00833FFC"/>
    <w:rsid w:val="008351E2"/>
    <w:rsid w:val="00835337"/>
    <w:rsid w:val="008356BF"/>
    <w:rsid w:val="008362CC"/>
    <w:rsid w:val="00836844"/>
    <w:rsid w:val="00836AD9"/>
    <w:rsid w:val="00836AF6"/>
    <w:rsid w:val="00836E10"/>
    <w:rsid w:val="00836F42"/>
    <w:rsid w:val="00837C97"/>
    <w:rsid w:val="00837F29"/>
    <w:rsid w:val="00840231"/>
    <w:rsid w:val="00840E88"/>
    <w:rsid w:val="00840F14"/>
    <w:rsid w:val="00841543"/>
    <w:rsid w:val="00841B12"/>
    <w:rsid w:val="0084204F"/>
    <w:rsid w:val="00842C36"/>
    <w:rsid w:val="0084365E"/>
    <w:rsid w:val="00843668"/>
    <w:rsid w:val="0084481C"/>
    <w:rsid w:val="00844A91"/>
    <w:rsid w:val="00844B0D"/>
    <w:rsid w:val="00844CCA"/>
    <w:rsid w:val="00844F46"/>
    <w:rsid w:val="00845478"/>
    <w:rsid w:val="00845B48"/>
    <w:rsid w:val="00845C2D"/>
    <w:rsid w:val="00845D81"/>
    <w:rsid w:val="00846124"/>
    <w:rsid w:val="0084659F"/>
    <w:rsid w:val="0084665E"/>
    <w:rsid w:val="008467A9"/>
    <w:rsid w:val="00846D31"/>
    <w:rsid w:val="00846F8E"/>
    <w:rsid w:val="0084724D"/>
    <w:rsid w:val="00847B8D"/>
    <w:rsid w:val="00847C53"/>
    <w:rsid w:val="00847EDD"/>
    <w:rsid w:val="00850145"/>
    <w:rsid w:val="00850321"/>
    <w:rsid w:val="0085038F"/>
    <w:rsid w:val="008506C1"/>
    <w:rsid w:val="008507DF"/>
    <w:rsid w:val="00850808"/>
    <w:rsid w:val="00850858"/>
    <w:rsid w:val="00850966"/>
    <w:rsid w:val="00850AEC"/>
    <w:rsid w:val="00850B85"/>
    <w:rsid w:val="00850C28"/>
    <w:rsid w:val="00851B66"/>
    <w:rsid w:val="00851DF3"/>
    <w:rsid w:val="008521C8"/>
    <w:rsid w:val="00852265"/>
    <w:rsid w:val="00852288"/>
    <w:rsid w:val="00852545"/>
    <w:rsid w:val="0085290F"/>
    <w:rsid w:val="00852A03"/>
    <w:rsid w:val="00852DED"/>
    <w:rsid w:val="00852E60"/>
    <w:rsid w:val="00853030"/>
    <w:rsid w:val="00853F83"/>
    <w:rsid w:val="0085400D"/>
    <w:rsid w:val="00854062"/>
    <w:rsid w:val="0085444D"/>
    <w:rsid w:val="00854789"/>
    <w:rsid w:val="008549E1"/>
    <w:rsid w:val="00854BAA"/>
    <w:rsid w:val="00855089"/>
    <w:rsid w:val="0085575A"/>
    <w:rsid w:val="008559B5"/>
    <w:rsid w:val="00855A02"/>
    <w:rsid w:val="00856191"/>
    <w:rsid w:val="008563F0"/>
    <w:rsid w:val="008566A4"/>
    <w:rsid w:val="00856B9B"/>
    <w:rsid w:val="008575C8"/>
    <w:rsid w:val="00857AAF"/>
    <w:rsid w:val="0086070D"/>
    <w:rsid w:val="00861352"/>
    <w:rsid w:val="0086148E"/>
    <w:rsid w:val="008618E2"/>
    <w:rsid w:val="00861921"/>
    <w:rsid w:val="00861E04"/>
    <w:rsid w:val="008624C1"/>
    <w:rsid w:val="0086297B"/>
    <w:rsid w:val="0086397C"/>
    <w:rsid w:val="0086406C"/>
    <w:rsid w:val="008648DF"/>
    <w:rsid w:val="00864A0C"/>
    <w:rsid w:val="00864A8B"/>
    <w:rsid w:val="008658E9"/>
    <w:rsid w:val="00865B02"/>
    <w:rsid w:val="008663E4"/>
    <w:rsid w:val="00866F6B"/>
    <w:rsid w:val="00866FB6"/>
    <w:rsid w:val="0086715E"/>
    <w:rsid w:val="00867227"/>
    <w:rsid w:val="00867330"/>
    <w:rsid w:val="008674A9"/>
    <w:rsid w:val="00867E22"/>
    <w:rsid w:val="00867ED8"/>
    <w:rsid w:val="0087023C"/>
    <w:rsid w:val="008702D2"/>
    <w:rsid w:val="0087096F"/>
    <w:rsid w:val="00871A3D"/>
    <w:rsid w:val="00871AA8"/>
    <w:rsid w:val="00871B62"/>
    <w:rsid w:val="00871F3E"/>
    <w:rsid w:val="0087223D"/>
    <w:rsid w:val="00872341"/>
    <w:rsid w:val="00872646"/>
    <w:rsid w:val="00872EFF"/>
    <w:rsid w:val="00873322"/>
    <w:rsid w:val="00873734"/>
    <w:rsid w:val="008737C9"/>
    <w:rsid w:val="00873CE6"/>
    <w:rsid w:val="00873E56"/>
    <w:rsid w:val="008740F3"/>
    <w:rsid w:val="0087452C"/>
    <w:rsid w:val="00874E00"/>
    <w:rsid w:val="00875423"/>
    <w:rsid w:val="00875D05"/>
    <w:rsid w:val="00875D4D"/>
    <w:rsid w:val="00876108"/>
    <w:rsid w:val="0087647F"/>
    <w:rsid w:val="008768D7"/>
    <w:rsid w:val="00877340"/>
    <w:rsid w:val="008773A4"/>
    <w:rsid w:val="00877494"/>
    <w:rsid w:val="00877815"/>
    <w:rsid w:val="008805E9"/>
    <w:rsid w:val="00880D1A"/>
    <w:rsid w:val="00880ECC"/>
    <w:rsid w:val="00881208"/>
    <w:rsid w:val="0088132F"/>
    <w:rsid w:val="00881413"/>
    <w:rsid w:val="00881861"/>
    <w:rsid w:val="00881C20"/>
    <w:rsid w:val="0088205C"/>
    <w:rsid w:val="00882775"/>
    <w:rsid w:val="00882854"/>
    <w:rsid w:val="00882BD0"/>
    <w:rsid w:val="00883A45"/>
    <w:rsid w:val="00884075"/>
    <w:rsid w:val="008847F5"/>
    <w:rsid w:val="00884C9E"/>
    <w:rsid w:val="00884ED0"/>
    <w:rsid w:val="00884EE5"/>
    <w:rsid w:val="008852E2"/>
    <w:rsid w:val="00885BCA"/>
    <w:rsid w:val="00885C37"/>
    <w:rsid w:val="00885C57"/>
    <w:rsid w:val="00885D57"/>
    <w:rsid w:val="00886202"/>
    <w:rsid w:val="008863D0"/>
    <w:rsid w:val="008864EA"/>
    <w:rsid w:val="0088653A"/>
    <w:rsid w:val="00886559"/>
    <w:rsid w:val="008866B3"/>
    <w:rsid w:val="008866E3"/>
    <w:rsid w:val="00886728"/>
    <w:rsid w:val="00886744"/>
    <w:rsid w:val="00886B01"/>
    <w:rsid w:val="00887060"/>
    <w:rsid w:val="00887326"/>
    <w:rsid w:val="008876CE"/>
    <w:rsid w:val="00887A92"/>
    <w:rsid w:val="00887BF8"/>
    <w:rsid w:val="00887CD8"/>
    <w:rsid w:val="00887DB2"/>
    <w:rsid w:val="008904D4"/>
    <w:rsid w:val="00890634"/>
    <w:rsid w:val="00890B39"/>
    <w:rsid w:val="00890CB2"/>
    <w:rsid w:val="00890D3F"/>
    <w:rsid w:val="0089177C"/>
    <w:rsid w:val="008919A1"/>
    <w:rsid w:val="00891EC9"/>
    <w:rsid w:val="00892698"/>
    <w:rsid w:val="008928A7"/>
    <w:rsid w:val="00892DE1"/>
    <w:rsid w:val="0089322A"/>
    <w:rsid w:val="00893A89"/>
    <w:rsid w:val="00893A9E"/>
    <w:rsid w:val="00893F4C"/>
    <w:rsid w:val="008942C0"/>
    <w:rsid w:val="008944F2"/>
    <w:rsid w:val="0089478B"/>
    <w:rsid w:val="00894AE1"/>
    <w:rsid w:val="00894E2D"/>
    <w:rsid w:val="00895126"/>
    <w:rsid w:val="00895C38"/>
    <w:rsid w:val="008962EF"/>
    <w:rsid w:val="00896944"/>
    <w:rsid w:val="00896FBA"/>
    <w:rsid w:val="008975DD"/>
    <w:rsid w:val="008976B5"/>
    <w:rsid w:val="008A0753"/>
    <w:rsid w:val="008A095E"/>
    <w:rsid w:val="008A0AC1"/>
    <w:rsid w:val="008A0B82"/>
    <w:rsid w:val="008A0D2B"/>
    <w:rsid w:val="008A0D58"/>
    <w:rsid w:val="008A10F4"/>
    <w:rsid w:val="008A1499"/>
    <w:rsid w:val="008A29DB"/>
    <w:rsid w:val="008A2E42"/>
    <w:rsid w:val="008A2EC4"/>
    <w:rsid w:val="008A3A44"/>
    <w:rsid w:val="008A4962"/>
    <w:rsid w:val="008A4A61"/>
    <w:rsid w:val="008A4C71"/>
    <w:rsid w:val="008A4FEF"/>
    <w:rsid w:val="008A526B"/>
    <w:rsid w:val="008A5607"/>
    <w:rsid w:val="008A578C"/>
    <w:rsid w:val="008A5A7E"/>
    <w:rsid w:val="008A5F8E"/>
    <w:rsid w:val="008A6376"/>
    <w:rsid w:val="008A6840"/>
    <w:rsid w:val="008A68B9"/>
    <w:rsid w:val="008A6BFF"/>
    <w:rsid w:val="008A6ECC"/>
    <w:rsid w:val="008A6F4C"/>
    <w:rsid w:val="008A745F"/>
    <w:rsid w:val="008A74F3"/>
    <w:rsid w:val="008B017C"/>
    <w:rsid w:val="008B0203"/>
    <w:rsid w:val="008B047A"/>
    <w:rsid w:val="008B052D"/>
    <w:rsid w:val="008B077B"/>
    <w:rsid w:val="008B0AEC"/>
    <w:rsid w:val="008B0CDA"/>
    <w:rsid w:val="008B0FD8"/>
    <w:rsid w:val="008B1A12"/>
    <w:rsid w:val="008B1BFB"/>
    <w:rsid w:val="008B1D76"/>
    <w:rsid w:val="008B2529"/>
    <w:rsid w:val="008B2A9D"/>
    <w:rsid w:val="008B2D72"/>
    <w:rsid w:val="008B30A9"/>
    <w:rsid w:val="008B3F1D"/>
    <w:rsid w:val="008B43AD"/>
    <w:rsid w:val="008B43E1"/>
    <w:rsid w:val="008B4798"/>
    <w:rsid w:val="008B4956"/>
    <w:rsid w:val="008B4A57"/>
    <w:rsid w:val="008B4E84"/>
    <w:rsid w:val="008B5599"/>
    <w:rsid w:val="008B60AB"/>
    <w:rsid w:val="008B6884"/>
    <w:rsid w:val="008B697F"/>
    <w:rsid w:val="008B6C7E"/>
    <w:rsid w:val="008B6DDB"/>
    <w:rsid w:val="008B6E1B"/>
    <w:rsid w:val="008B71AB"/>
    <w:rsid w:val="008B73FA"/>
    <w:rsid w:val="008B74D9"/>
    <w:rsid w:val="008B7759"/>
    <w:rsid w:val="008B7C99"/>
    <w:rsid w:val="008B7D50"/>
    <w:rsid w:val="008C0129"/>
    <w:rsid w:val="008C08CD"/>
    <w:rsid w:val="008C091A"/>
    <w:rsid w:val="008C0B10"/>
    <w:rsid w:val="008C0B31"/>
    <w:rsid w:val="008C0DE1"/>
    <w:rsid w:val="008C1098"/>
    <w:rsid w:val="008C1BC5"/>
    <w:rsid w:val="008C1C2C"/>
    <w:rsid w:val="008C1F1B"/>
    <w:rsid w:val="008C2345"/>
    <w:rsid w:val="008C2C69"/>
    <w:rsid w:val="008C2F3C"/>
    <w:rsid w:val="008C2F98"/>
    <w:rsid w:val="008C32E0"/>
    <w:rsid w:val="008C33ED"/>
    <w:rsid w:val="008C3844"/>
    <w:rsid w:val="008C388C"/>
    <w:rsid w:val="008C4333"/>
    <w:rsid w:val="008C4A60"/>
    <w:rsid w:val="008C5362"/>
    <w:rsid w:val="008C5A14"/>
    <w:rsid w:val="008C5B0F"/>
    <w:rsid w:val="008C5BC3"/>
    <w:rsid w:val="008C654A"/>
    <w:rsid w:val="008C6D6F"/>
    <w:rsid w:val="008C7786"/>
    <w:rsid w:val="008D0075"/>
    <w:rsid w:val="008D027C"/>
    <w:rsid w:val="008D0ADA"/>
    <w:rsid w:val="008D0F43"/>
    <w:rsid w:val="008D1266"/>
    <w:rsid w:val="008D1935"/>
    <w:rsid w:val="008D1F1F"/>
    <w:rsid w:val="008D1FDF"/>
    <w:rsid w:val="008D243A"/>
    <w:rsid w:val="008D2F42"/>
    <w:rsid w:val="008D3723"/>
    <w:rsid w:val="008D3ED7"/>
    <w:rsid w:val="008D41FA"/>
    <w:rsid w:val="008D44C7"/>
    <w:rsid w:val="008D49F8"/>
    <w:rsid w:val="008D4AB4"/>
    <w:rsid w:val="008D4D0A"/>
    <w:rsid w:val="008D5301"/>
    <w:rsid w:val="008D5342"/>
    <w:rsid w:val="008D53A4"/>
    <w:rsid w:val="008D53AD"/>
    <w:rsid w:val="008D6124"/>
    <w:rsid w:val="008D62DF"/>
    <w:rsid w:val="008D67C7"/>
    <w:rsid w:val="008D7183"/>
    <w:rsid w:val="008D7BFA"/>
    <w:rsid w:val="008D7C78"/>
    <w:rsid w:val="008D7F41"/>
    <w:rsid w:val="008E001E"/>
    <w:rsid w:val="008E056A"/>
    <w:rsid w:val="008E06AE"/>
    <w:rsid w:val="008E0FA2"/>
    <w:rsid w:val="008E2293"/>
    <w:rsid w:val="008E2751"/>
    <w:rsid w:val="008E27C5"/>
    <w:rsid w:val="008E27DB"/>
    <w:rsid w:val="008E2945"/>
    <w:rsid w:val="008E2962"/>
    <w:rsid w:val="008E29AA"/>
    <w:rsid w:val="008E31DB"/>
    <w:rsid w:val="008E3AFA"/>
    <w:rsid w:val="008E3BF4"/>
    <w:rsid w:val="008E4076"/>
    <w:rsid w:val="008E4422"/>
    <w:rsid w:val="008E45CB"/>
    <w:rsid w:val="008E483E"/>
    <w:rsid w:val="008E4A0E"/>
    <w:rsid w:val="008E4C42"/>
    <w:rsid w:val="008E56F9"/>
    <w:rsid w:val="008E5841"/>
    <w:rsid w:val="008E5B7F"/>
    <w:rsid w:val="008E602F"/>
    <w:rsid w:val="008E61DC"/>
    <w:rsid w:val="008E61F7"/>
    <w:rsid w:val="008E62D7"/>
    <w:rsid w:val="008E694C"/>
    <w:rsid w:val="008E7073"/>
    <w:rsid w:val="008E70CC"/>
    <w:rsid w:val="008E74B9"/>
    <w:rsid w:val="008E78EA"/>
    <w:rsid w:val="008F0374"/>
    <w:rsid w:val="008F0529"/>
    <w:rsid w:val="008F07CD"/>
    <w:rsid w:val="008F0C42"/>
    <w:rsid w:val="008F0D86"/>
    <w:rsid w:val="008F0F03"/>
    <w:rsid w:val="008F1560"/>
    <w:rsid w:val="008F17FA"/>
    <w:rsid w:val="008F1CB5"/>
    <w:rsid w:val="008F1DDF"/>
    <w:rsid w:val="008F21DE"/>
    <w:rsid w:val="008F223F"/>
    <w:rsid w:val="008F276C"/>
    <w:rsid w:val="008F2850"/>
    <w:rsid w:val="008F297B"/>
    <w:rsid w:val="008F29E8"/>
    <w:rsid w:val="008F338F"/>
    <w:rsid w:val="008F38A1"/>
    <w:rsid w:val="008F401F"/>
    <w:rsid w:val="008F48A6"/>
    <w:rsid w:val="008F4E18"/>
    <w:rsid w:val="008F4F63"/>
    <w:rsid w:val="008F5276"/>
    <w:rsid w:val="008F57EE"/>
    <w:rsid w:val="008F5841"/>
    <w:rsid w:val="008F6894"/>
    <w:rsid w:val="008F6B5F"/>
    <w:rsid w:val="008F6C42"/>
    <w:rsid w:val="008F703E"/>
    <w:rsid w:val="008F772F"/>
    <w:rsid w:val="008F7760"/>
    <w:rsid w:val="008F7BC4"/>
    <w:rsid w:val="008F7C00"/>
    <w:rsid w:val="0090006B"/>
    <w:rsid w:val="00900E18"/>
    <w:rsid w:val="0090117E"/>
    <w:rsid w:val="00901B57"/>
    <w:rsid w:val="00901D14"/>
    <w:rsid w:val="00901D51"/>
    <w:rsid w:val="0090215A"/>
    <w:rsid w:val="00902B34"/>
    <w:rsid w:val="009034C6"/>
    <w:rsid w:val="00903A28"/>
    <w:rsid w:val="00903AA8"/>
    <w:rsid w:val="00903C9C"/>
    <w:rsid w:val="00903D92"/>
    <w:rsid w:val="00903FB5"/>
    <w:rsid w:val="00904429"/>
    <w:rsid w:val="00904A99"/>
    <w:rsid w:val="00904AEF"/>
    <w:rsid w:val="00904E82"/>
    <w:rsid w:val="00905092"/>
    <w:rsid w:val="00905B6B"/>
    <w:rsid w:val="00905FA0"/>
    <w:rsid w:val="009062BE"/>
    <w:rsid w:val="009063C3"/>
    <w:rsid w:val="00906944"/>
    <w:rsid w:val="0090694A"/>
    <w:rsid w:val="00906A7F"/>
    <w:rsid w:val="00907316"/>
    <w:rsid w:val="009076C6"/>
    <w:rsid w:val="009078FC"/>
    <w:rsid w:val="009105DD"/>
    <w:rsid w:val="00910869"/>
    <w:rsid w:val="00910B20"/>
    <w:rsid w:val="00910B2B"/>
    <w:rsid w:val="00910C9F"/>
    <w:rsid w:val="009111EB"/>
    <w:rsid w:val="009117B2"/>
    <w:rsid w:val="00911A47"/>
    <w:rsid w:val="0091250A"/>
    <w:rsid w:val="0091261F"/>
    <w:rsid w:val="00912B3F"/>
    <w:rsid w:val="00912E91"/>
    <w:rsid w:val="009133EA"/>
    <w:rsid w:val="00913431"/>
    <w:rsid w:val="00913559"/>
    <w:rsid w:val="009135D6"/>
    <w:rsid w:val="00913AAD"/>
    <w:rsid w:val="00913B7E"/>
    <w:rsid w:val="009149DF"/>
    <w:rsid w:val="00914BC5"/>
    <w:rsid w:val="0091501F"/>
    <w:rsid w:val="00915062"/>
    <w:rsid w:val="0091511B"/>
    <w:rsid w:val="0091553A"/>
    <w:rsid w:val="00915F28"/>
    <w:rsid w:val="00916561"/>
    <w:rsid w:val="00916D28"/>
    <w:rsid w:val="00916E54"/>
    <w:rsid w:val="00917027"/>
    <w:rsid w:val="00917070"/>
    <w:rsid w:val="0091736E"/>
    <w:rsid w:val="009175A3"/>
    <w:rsid w:val="00917901"/>
    <w:rsid w:val="00917B02"/>
    <w:rsid w:val="00917C5C"/>
    <w:rsid w:val="0092033A"/>
    <w:rsid w:val="00920C04"/>
    <w:rsid w:val="00920CE7"/>
    <w:rsid w:val="009219CB"/>
    <w:rsid w:val="00921CE0"/>
    <w:rsid w:val="00921FB7"/>
    <w:rsid w:val="0092228F"/>
    <w:rsid w:val="00922816"/>
    <w:rsid w:val="0092293D"/>
    <w:rsid w:val="00922D14"/>
    <w:rsid w:val="00923488"/>
    <w:rsid w:val="00923B51"/>
    <w:rsid w:val="00923D5A"/>
    <w:rsid w:val="00923DA7"/>
    <w:rsid w:val="00923E0C"/>
    <w:rsid w:val="0092407F"/>
    <w:rsid w:val="009240C5"/>
    <w:rsid w:val="00924290"/>
    <w:rsid w:val="0092491F"/>
    <w:rsid w:val="00924C57"/>
    <w:rsid w:val="00925023"/>
    <w:rsid w:val="0092515F"/>
    <w:rsid w:val="009252D3"/>
    <w:rsid w:val="0092571D"/>
    <w:rsid w:val="009259BA"/>
    <w:rsid w:val="00925C3E"/>
    <w:rsid w:val="00925E7F"/>
    <w:rsid w:val="009270A3"/>
    <w:rsid w:val="00927449"/>
    <w:rsid w:val="009275DC"/>
    <w:rsid w:val="0092793E"/>
    <w:rsid w:val="00930034"/>
    <w:rsid w:val="00930332"/>
    <w:rsid w:val="009303B4"/>
    <w:rsid w:val="0093044C"/>
    <w:rsid w:val="00930881"/>
    <w:rsid w:val="00930B3D"/>
    <w:rsid w:val="0093113C"/>
    <w:rsid w:val="009312F8"/>
    <w:rsid w:val="009314F1"/>
    <w:rsid w:val="00931871"/>
    <w:rsid w:val="00931D04"/>
    <w:rsid w:val="00931D3E"/>
    <w:rsid w:val="00931ECB"/>
    <w:rsid w:val="00931F7D"/>
    <w:rsid w:val="00932352"/>
    <w:rsid w:val="00932460"/>
    <w:rsid w:val="0093279B"/>
    <w:rsid w:val="00932901"/>
    <w:rsid w:val="00932DAC"/>
    <w:rsid w:val="009336AB"/>
    <w:rsid w:val="00933716"/>
    <w:rsid w:val="00933B20"/>
    <w:rsid w:val="0093414B"/>
    <w:rsid w:val="00934340"/>
    <w:rsid w:val="0093442A"/>
    <w:rsid w:val="009347C4"/>
    <w:rsid w:val="00935148"/>
    <w:rsid w:val="0093556C"/>
    <w:rsid w:val="00935BDA"/>
    <w:rsid w:val="00936532"/>
    <w:rsid w:val="00936D12"/>
    <w:rsid w:val="00937E88"/>
    <w:rsid w:val="00937F7E"/>
    <w:rsid w:val="00941ED0"/>
    <w:rsid w:val="00942149"/>
    <w:rsid w:val="009421C4"/>
    <w:rsid w:val="009421FB"/>
    <w:rsid w:val="00942B44"/>
    <w:rsid w:val="00942D56"/>
    <w:rsid w:val="0094317E"/>
    <w:rsid w:val="0094372F"/>
    <w:rsid w:val="00943DE6"/>
    <w:rsid w:val="00943FC2"/>
    <w:rsid w:val="0094418C"/>
    <w:rsid w:val="00944641"/>
    <w:rsid w:val="00944AB5"/>
    <w:rsid w:val="00945556"/>
    <w:rsid w:val="009458D3"/>
    <w:rsid w:val="00945B41"/>
    <w:rsid w:val="0094693C"/>
    <w:rsid w:val="00946ADF"/>
    <w:rsid w:val="009472CA"/>
    <w:rsid w:val="00947548"/>
    <w:rsid w:val="00947ED5"/>
    <w:rsid w:val="0095006D"/>
    <w:rsid w:val="00950173"/>
    <w:rsid w:val="0095029F"/>
    <w:rsid w:val="00950312"/>
    <w:rsid w:val="00950626"/>
    <w:rsid w:val="00950BA5"/>
    <w:rsid w:val="00950FA1"/>
    <w:rsid w:val="00951453"/>
    <w:rsid w:val="00952134"/>
    <w:rsid w:val="0095237B"/>
    <w:rsid w:val="00952968"/>
    <w:rsid w:val="00952DC6"/>
    <w:rsid w:val="00953B52"/>
    <w:rsid w:val="00953C36"/>
    <w:rsid w:val="00954035"/>
    <w:rsid w:val="00954142"/>
    <w:rsid w:val="0095416F"/>
    <w:rsid w:val="0095449F"/>
    <w:rsid w:val="00954607"/>
    <w:rsid w:val="009551BD"/>
    <w:rsid w:val="0095538F"/>
    <w:rsid w:val="00955659"/>
    <w:rsid w:val="00955AF6"/>
    <w:rsid w:val="00955BFF"/>
    <w:rsid w:val="00955F22"/>
    <w:rsid w:val="009564A7"/>
    <w:rsid w:val="009568F0"/>
    <w:rsid w:val="00956A60"/>
    <w:rsid w:val="00956C79"/>
    <w:rsid w:val="009570DC"/>
    <w:rsid w:val="00957397"/>
    <w:rsid w:val="00957A0B"/>
    <w:rsid w:val="00957B4D"/>
    <w:rsid w:val="00957DC9"/>
    <w:rsid w:val="00957EC3"/>
    <w:rsid w:val="00960175"/>
    <w:rsid w:val="00960545"/>
    <w:rsid w:val="0096070E"/>
    <w:rsid w:val="00960CD4"/>
    <w:rsid w:val="00960F3C"/>
    <w:rsid w:val="00961626"/>
    <w:rsid w:val="00961634"/>
    <w:rsid w:val="00961850"/>
    <w:rsid w:val="00961953"/>
    <w:rsid w:val="009619B1"/>
    <w:rsid w:val="00961C06"/>
    <w:rsid w:val="009621D7"/>
    <w:rsid w:val="00962437"/>
    <w:rsid w:val="0096265D"/>
    <w:rsid w:val="009626E3"/>
    <w:rsid w:val="009627BC"/>
    <w:rsid w:val="00962A25"/>
    <w:rsid w:val="00962B0A"/>
    <w:rsid w:val="0096300A"/>
    <w:rsid w:val="0096300E"/>
    <w:rsid w:val="009633F3"/>
    <w:rsid w:val="0096354A"/>
    <w:rsid w:val="00963A8B"/>
    <w:rsid w:val="00963EB5"/>
    <w:rsid w:val="00964F54"/>
    <w:rsid w:val="009653D6"/>
    <w:rsid w:val="009654D5"/>
    <w:rsid w:val="0096575E"/>
    <w:rsid w:val="00966104"/>
    <w:rsid w:val="009661B5"/>
    <w:rsid w:val="009663E7"/>
    <w:rsid w:val="009663FB"/>
    <w:rsid w:val="00966684"/>
    <w:rsid w:val="009666A7"/>
    <w:rsid w:val="00966CCF"/>
    <w:rsid w:val="00966F22"/>
    <w:rsid w:val="00967254"/>
    <w:rsid w:val="009672FE"/>
    <w:rsid w:val="009673A4"/>
    <w:rsid w:val="009673C7"/>
    <w:rsid w:val="0097048D"/>
    <w:rsid w:val="00971D2B"/>
    <w:rsid w:val="00971EBE"/>
    <w:rsid w:val="009720BA"/>
    <w:rsid w:val="009722AD"/>
    <w:rsid w:val="00972718"/>
    <w:rsid w:val="0097292C"/>
    <w:rsid w:val="00972ACD"/>
    <w:rsid w:val="00972DBC"/>
    <w:rsid w:val="00973029"/>
    <w:rsid w:val="009734DA"/>
    <w:rsid w:val="009735A4"/>
    <w:rsid w:val="009735AF"/>
    <w:rsid w:val="0097374F"/>
    <w:rsid w:val="00973A2F"/>
    <w:rsid w:val="00973C36"/>
    <w:rsid w:val="00973C43"/>
    <w:rsid w:val="00973D18"/>
    <w:rsid w:val="00973E7F"/>
    <w:rsid w:val="00974626"/>
    <w:rsid w:val="00974A21"/>
    <w:rsid w:val="00974B8B"/>
    <w:rsid w:val="00974D15"/>
    <w:rsid w:val="00974F79"/>
    <w:rsid w:val="009752DD"/>
    <w:rsid w:val="00975C62"/>
    <w:rsid w:val="00976100"/>
    <w:rsid w:val="009765E6"/>
    <w:rsid w:val="009767D1"/>
    <w:rsid w:val="00976DCC"/>
    <w:rsid w:val="0097701A"/>
    <w:rsid w:val="0097753A"/>
    <w:rsid w:val="0097758E"/>
    <w:rsid w:val="00977987"/>
    <w:rsid w:val="00977BE7"/>
    <w:rsid w:val="00977E3C"/>
    <w:rsid w:val="00980467"/>
    <w:rsid w:val="0098068B"/>
    <w:rsid w:val="009807E9"/>
    <w:rsid w:val="00981A5A"/>
    <w:rsid w:val="00981ABE"/>
    <w:rsid w:val="00981FCE"/>
    <w:rsid w:val="009821C9"/>
    <w:rsid w:val="00982217"/>
    <w:rsid w:val="00982625"/>
    <w:rsid w:val="00982755"/>
    <w:rsid w:val="009832D5"/>
    <w:rsid w:val="009833BD"/>
    <w:rsid w:val="009833D8"/>
    <w:rsid w:val="009837B2"/>
    <w:rsid w:val="00984150"/>
    <w:rsid w:val="00984757"/>
    <w:rsid w:val="0098483B"/>
    <w:rsid w:val="009849C2"/>
    <w:rsid w:val="00984A5F"/>
    <w:rsid w:val="00984ECC"/>
    <w:rsid w:val="00984ED7"/>
    <w:rsid w:val="00985327"/>
    <w:rsid w:val="009853DD"/>
    <w:rsid w:val="00985412"/>
    <w:rsid w:val="00985750"/>
    <w:rsid w:val="00985B25"/>
    <w:rsid w:val="00985BA1"/>
    <w:rsid w:val="00985D4E"/>
    <w:rsid w:val="00985D7C"/>
    <w:rsid w:val="00985E9F"/>
    <w:rsid w:val="00987336"/>
    <w:rsid w:val="0099099C"/>
    <w:rsid w:val="00990D47"/>
    <w:rsid w:val="00991064"/>
    <w:rsid w:val="0099162B"/>
    <w:rsid w:val="00991698"/>
    <w:rsid w:val="00991919"/>
    <w:rsid w:val="00991996"/>
    <w:rsid w:val="00991A4B"/>
    <w:rsid w:val="00991E2D"/>
    <w:rsid w:val="00992333"/>
    <w:rsid w:val="009928A8"/>
    <w:rsid w:val="00992C64"/>
    <w:rsid w:val="0099379E"/>
    <w:rsid w:val="009938AF"/>
    <w:rsid w:val="00993CEE"/>
    <w:rsid w:val="00993EB5"/>
    <w:rsid w:val="009948EC"/>
    <w:rsid w:val="00994D5B"/>
    <w:rsid w:val="00994DA0"/>
    <w:rsid w:val="00994EE7"/>
    <w:rsid w:val="0099583D"/>
    <w:rsid w:val="00996091"/>
    <w:rsid w:val="009964BB"/>
    <w:rsid w:val="00996772"/>
    <w:rsid w:val="00996796"/>
    <w:rsid w:val="00996BD9"/>
    <w:rsid w:val="0099702B"/>
    <w:rsid w:val="00997543"/>
    <w:rsid w:val="009975B6"/>
    <w:rsid w:val="009A0230"/>
    <w:rsid w:val="009A0875"/>
    <w:rsid w:val="009A12C3"/>
    <w:rsid w:val="009A135F"/>
    <w:rsid w:val="009A1471"/>
    <w:rsid w:val="009A16D2"/>
    <w:rsid w:val="009A1C51"/>
    <w:rsid w:val="009A1C94"/>
    <w:rsid w:val="009A2AA7"/>
    <w:rsid w:val="009A2F32"/>
    <w:rsid w:val="009A3432"/>
    <w:rsid w:val="009A3A58"/>
    <w:rsid w:val="009A43F3"/>
    <w:rsid w:val="009A44F4"/>
    <w:rsid w:val="009A46BF"/>
    <w:rsid w:val="009A485C"/>
    <w:rsid w:val="009A4D8E"/>
    <w:rsid w:val="009A4FAE"/>
    <w:rsid w:val="009A56EF"/>
    <w:rsid w:val="009A5E72"/>
    <w:rsid w:val="009A64A5"/>
    <w:rsid w:val="009A707D"/>
    <w:rsid w:val="009A7505"/>
    <w:rsid w:val="009A7982"/>
    <w:rsid w:val="009A798A"/>
    <w:rsid w:val="009A7D52"/>
    <w:rsid w:val="009B0099"/>
    <w:rsid w:val="009B072A"/>
    <w:rsid w:val="009B09C5"/>
    <w:rsid w:val="009B0A7F"/>
    <w:rsid w:val="009B0BCF"/>
    <w:rsid w:val="009B0FEE"/>
    <w:rsid w:val="009B1127"/>
    <w:rsid w:val="009B1389"/>
    <w:rsid w:val="009B1396"/>
    <w:rsid w:val="009B1989"/>
    <w:rsid w:val="009B1A66"/>
    <w:rsid w:val="009B1ABE"/>
    <w:rsid w:val="009B207F"/>
    <w:rsid w:val="009B23AE"/>
    <w:rsid w:val="009B2C54"/>
    <w:rsid w:val="009B3C16"/>
    <w:rsid w:val="009B3C6E"/>
    <w:rsid w:val="009B4114"/>
    <w:rsid w:val="009B4266"/>
    <w:rsid w:val="009B448E"/>
    <w:rsid w:val="009B479E"/>
    <w:rsid w:val="009B4CA5"/>
    <w:rsid w:val="009B4D61"/>
    <w:rsid w:val="009B4E42"/>
    <w:rsid w:val="009B5789"/>
    <w:rsid w:val="009B5F2B"/>
    <w:rsid w:val="009B61AF"/>
    <w:rsid w:val="009B6849"/>
    <w:rsid w:val="009B6FDD"/>
    <w:rsid w:val="009B770F"/>
    <w:rsid w:val="009B7E27"/>
    <w:rsid w:val="009B7E4A"/>
    <w:rsid w:val="009C02E6"/>
    <w:rsid w:val="009C03E8"/>
    <w:rsid w:val="009C0669"/>
    <w:rsid w:val="009C0A1C"/>
    <w:rsid w:val="009C0BBC"/>
    <w:rsid w:val="009C0C59"/>
    <w:rsid w:val="009C0D7C"/>
    <w:rsid w:val="009C15AC"/>
    <w:rsid w:val="009C1F54"/>
    <w:rsid w:val="009C21BA"/>
    <w:rsid w:val="009C21BF"/>
    <w:rsid w:val="009C234A"/>
    <w:rsid w:val="009C2556"/>
    <w:rsid w:val="009C2911"/>
    <w:rsid w:val="009C2B41"/>
    <w:rsid w:val="009C2D79"/>
    <w:rsid w:val="009C2E5D"/>
    <w:rsid w:val="009C34AF"/>
    <w:rsid w:val="009C36EC"/>
    <w:rsid w:val="009C39CA"/>
    <w:rsid w:val="009C39D7"/>
    <w:rsid w:val="009C3CE0"/>
    <w:rsid w:val="009C4D21"/>
    <w:rsid w:val="009C51A4"/>
    <w:rsid w:val="009C551F"/>
    <w:rsid w:val="009C5C71"/>
    <w:rsid w:val="009C602B"/>
    <w:rsid w:val="009C62CC"/>
    <w:rsid w:val="009C649E"/>
    <w:rsid w:val="009C64F6"/>
    <w:rsid w:val="009C65D3"/>
    <w:rsid w:val="009C66EC"/>
    <w:rsid w:val="009C6E5F"/>
    <w:rsid w:val="009C7320"/>
    <w:rsid w:val="009C745B"/>
    <w:rsid w:val="009C793F"/>
    <w:rsid w:val="009C7A7F"/>
    <w:rsid w:val="009C7BF0"/>
    <w:rsid w:val="009D034E"/>
    <w:rsid w:val="009D0485"/>
    <w:rsid w:val="009D0C34"/>
    <w:rsid w:val="009D139A"/>
    <w:rsid w:val="009D164B"/>
    <w:rsid w:val="009D16ED"/>
    <w:rsid w:val="009D171F"/>
    <w:rsid w:val="009D176B"/>
    <w:rsid w:val="009D1B23"/>
    <w:rsid w:val="009D2968"/>
    <w:rsid w:val="009D2CD7"/>
    <w:rsid w:val="009D3B03"/>
    <w:rsid w:val="009D416D"/>
    <w:rsid w:val="009D439A"/>
    <w:rsid w:val="009D4ABE"/>
    <w:rsid w:val="009D5495"/>
    <w:rsid w:val="009D570D"/>
    <w:rsid w:val="009D58C3"/>
    <w:rsid w:val="009D5B5C"/>
    <w:rsid w:val="009D5E49"/>
    <w:rsid w:val="009D67BA"/>
    <w:rsid w:val="009D6E49"/>
    <w:rsid w:val="009D718D"/>
    <w:rsid w:val="009D7455"/>
    <w:rsid w:val="009D769A"/>
    <w:rsid w:val="009D7C2E"/>
    <w:rsid w:val="009D7F16"/>
    <w:rsid w:val="009E02F5"/>
    <w:rsid w:val="009E062B"/>
    <w:rsid w:val="009E064C"/>
    <w:rsid w:val="009E0A95"/>
    <w:rsid w:val="009E0C27"/>
    <w:rsid w:val="009E0C41"/>
    <w:rsid w:val="009E0D8B"/>
    <w:rsid w:val="009E11E8"/>
    <w:rsid w:val="009E13AC"/>
    <w:rsid w:val="009E13FE"/>
    <w:rsid w:val="009E2304"/>
    <w:rsid w:val="009E24F8"/>
    <w:rsid w:val="009E276E"/>
    <w:rsid w:val="009E2F8A"/>
    <w:rsid w:val="009E33F3"/>
    <w:rsid w:val="009E3953"/>
    <w:rsid w:val="009E3958"/>
    <w:rsid w:val="009E3BE9"/>
    <w:rsid w:val="009E3D4E"/>
    <w:rsid w:val="009E40AF"/>
    <w:rsid w:val="009E4292"/>
    <w:rsid w:val="009E4C9A"/>
    <w:rsid w:val="009E5177"/>
    <w:rsid w:val="009E5719"/>
    <w:rsid w:val="009E578C"/>
    <w:rsid w:val="009E70E3"/>
    <w:rsid w:val="009E74F4"/>
    <w:rsid w:val="009E79C9"/>
    <w:rsid w:val="009E7BA0"/>
    <w:rsid w:val="009F000B"/>
    <w:rsid w:val="009F0A13"/>
    <w:rsid w:val="009F1806"/>
    <w:rsid w:val="009F21FF"/>
    <w:rsid w:val="009F28C3"/>
    <w:rsid w:val="009F28DC"/>
    <w:rsid w:val="009F3185"/>
    <w:rsid w:val="009F35D7"/>
    <w:rsid w:val="009F37E1"/>
    <w:rsid w:val="009F3914"/>
    <w:rsid w:val="009F3A26"/>
    <w:rsid w:val="009F3BDF"/>
    <w:rsid w:val="009F42CC"/>
    <w:rsid w:val="009F4435"/>
    <w:rsid w:val="009F443F"/>
    <w:rsid w:val="009F4812"/>
    <w:rsid w:val="009F4863"/>
    <w:rsid w:val="009F490D"/>
    <w:rsid w:val="009F4B9F"/>
    <w:rsid w:val="009F516C"/>
    <w:rsid w:val="009F544F"/>
    <w:rsid w:val="009F55B9"/>
    <w:rsid w:val="009F58CC"/>
    <w:rsid w:val="009F58CE"/>
    <w:rsid w:val="009F5B80"/>
    <w:rsid w:val="009F65E2"/>
    <w:rsid w:val="009F6CEB"/>
    <w:rsid w:val="009F7009"/>
    <w:rsid w:val="009F70A9"/>
    <w:rsid w:val="009F70F9"/>
    <w:rsid w:val="009F7B59"/>
    <w:rsid w:val="00A0009F"/>
    <w:rsid w:val="00A009DA"/>
    <w:rsid w:val="00A00DC9"/>
    <w:rsid w:val="00A00E9C"/>
    <w:rsid w:val="00A01053"/>
    <w:rsid w:val="00A015DC"/>
    <w:rsid w:val="00A020E2"/>
    <w:rsid w:val="00A02D79"/>
    <w:rsid w:val="00A0380C"/>
    <w:rsid w:val="00A03A87"/>
    <w:rsid w:val="00A0433C"/>
    <w:rsid w:val="00A044F3"/>
    <w:rsid w:val="00A04C02"/>
    <w:rsid w:val="00A04E9A"/>
    <w:rsid w:val="00A04FAA"/>
    <w:rsid w:val="00A05014"/>
    <w:rsid w:val="00A05227"/>
    <w:rsid w:val="00A058E2"/>
    <w:rsid w:val="00A05973"/>
    <w:rsid w:val="00A05A0B"/>
    <w:rsid w:val="00A05AC4"/>
    <w:rsid w:val="00A062CA"/>
    <w:rsid w:val="00A06980"/>
    <w:rsid w:val="00A06FFF"/>
    <w:rsid w:val="00A07027"/>
    <w:rsid w:val="00A07E26"/>
    <w:rsid w:val="00A10873"/>
    <w:rsid w:val="00A10933"/>
    <w:rsid w:val="00A10A68"/>
    <w:rsid w:val="00A1137A"/>
    <w:rsid w:val="00A11782"/>
    <w:rsid w:val="00A11B16"/>
    <w:rsid w:val="00A11F51"/>
    <w:rsid w:val="00A125A3"/>
    <w:rsid w:val="00A12F39"/>
    <w:rsid w:val="00A1338E"/>
    <w:rsid w:val="00A13F80"/>
    <w:rsid w:val="00A143C7"/>
    <w:rsid w:val="00A143E8"/>
    <w:rsid w:val="00A146F8"/>
    <w:rsid w:val="00A14CA7"/>
    <w:rsid w:val="00A14DFE"/>
    <w:rsid w:val="00A14FF8"/>
    <w:rsid w:val="00A154AE"/>
    <w:rsid w:val="00A155EF"/>
    <w:rsid w:val="00A15AEB"/>
    <w:rsid w:val="00A15D9F"/>
    <w:rsid w:val="00A15F37"/>
    <w:rsid w:val="00A16020"/>
    <w:rsid w:val="00A16164"/>
    <w:rsid w:val="00A162E9"/>
    <w:rsid w:val="00A16743"/>
    <w:rsid w:val="00A16C16"/>
    <w:rsid w:val="00A1710C"/>
    <w:rsid w:val="00A173A5"/>
    <w:rsid w:val="00A17A67"/>
    <w:rsid w:val="00A20023"/>
    <w:rsid w:val="00A20124"/>
    <w:rsid w:val="00A20333"/>
    <w:rsid w:val="00A2047D"/>
    <w:rsid w:val="00A20578"/>
    <w:rsid w:val="00A21042"/>
    <w:rsid w:val="00A21526"/>
    <w:rsid w:val="00A217D7"/>
    <w:rsid w:val="00A21A89"/>
    <w:rsid w:val="00A21CA6"/>
    <w:rsid w:val="00A22443"/>
    <w:rsid w:val="00A225EF"/>
    <w:rsid w:val="00A22755"/>
    <w:rsid w:val="00A22C8F"/>
    <w:rsid w:val="00A23748"/>
    <w:rsid w:val="00A23B08"/>
    <w:rsid w:val="00A23D88"/>
    <w:rsid w:val="00A23EE2"/>
    <w:rsid w:val="00A24023"/>
    <w:rsid w:val="00A2423A"/>
    <w:rsid w:val="00A2446A"/>
    <w:rsid w:val="00A246C5"/>
    <w:rsid w:val="00A2490D"/>
    <w:rsid w:val="00A24D25"/>
    <w:rsid w:val="00A24EC4"/>
    <w:rsid w:val="00A24F2D"/>
    <w:rsid w:val="00A24F40"/>
    <w:rsid w:val="00A25186"/>
    <w:rsid w:val="00A25296"/>
    <w:rsid w:val="00A256C8"/>
    <w:rsid w:val="00A258F4"/>
    <w:rsid w:val="00A25AA4"/>
    <w:rsid w:val="00A25B96"/>
    <w:rsid w:val="00A26212"/>
    <w:rsid w:val="00A26661"/>
    <w:rsid w:val="00A266F7"/>
    <w:rsid w:val="00A26982"/>
    <w:rsid w:val="00A26EF6"/>
    <w:rsid w:val="00A27335"/>
    <w:rsid w:val="00A27F00"/>
    <w:rsid w:val="00A30009"/>
    <w:rsid w:val="00A30013"/>
    <w:rsid w:val="00A3165B"/>
    <w:rsid w:val="00A32676"/>
    <w:rsid w:val="00A32B7B"/>
    <w:rsid w:val="00A32CA7"/>
    <w:rsid w:val="00A32D99"/>
    <w:rsid w:val="00A32F6B"/>
    <w:rsid w:val="00A33833"/>
    <w:rsid w:val="00A33B9E"/>
    <w:rsid w:val="00A33D92"/>
    <w:rsid w:val="00A346C2"/>
    <w:rsid w:val="00A34F85"/>
    <w:rsid w:val="00A3563A"/>
    <w:rsid w:val="00A366A0"/>
    <w:rsid w:val="00A36745"/>
    <w:rsid w:val="00A3697B"/>
    <w:rsid w:val="00A36BCE"/>
    <w:rsid w:val="00A36C30"/>
    <w:rsid w:val="00A36EE6"/>
    <w:rsid w:val="00A37419"/>
    <w:rsid w:val="00A37985"/>
    <w:rsid w:val="00A37DC2"/>
    <w:rsid w:val="00A401FB"/>
    <w:rsid w:val="00A40405"/>
    <w:rsid w:val="00A40DB2"/>
    <w:rsid w:val="00A41014"/>
    <w:rsid w:val="00A41071"/>
    <w:rsid w:val="00A42490"/>
    <w:rsid w:val="00A42F0A"/>
    <w:rsid w:val="00A42FD2"/>
    <w:rsid w:val="00A43CC4"/>
    <w:rsid w:val="00A43D44"/>
    <w:rsid w:val="00A4406D"/>
    <w:rsid w:val="00A4430C"/>
    <w:rsid w:val="00A447E1"/>
    <w:rsid w:val="00A44908"/>
    <w:rsid w:val="00A44C9C"/>
    <w:rsid w:val="00A44F3F"/>
    <w:rsid w:val="00A44F6E"/>
    <w:rsid w:val="00A45DB5"/>
    <w:rsid w:val="00A46263"/>
    <w:rsid w:val="00A468C0"/>
    <w:rsid w:val="00A46F0B"/>
    <w:rsid w:val="00A46FAA"/>
    <w:rsid w:val="00A477E7"/>
    <w:rsid w:val="00A479DB"/>
    <w:rsid w:val="00A508D6"/>
    <w:rsid w:val="00A50B80"/>
    <w:rsid w:val="00A50BF6"/>
    <w:rsid w:val="00A50E61"/>
    <w:rsid w:val="00A51947"/>
    <w:rsid w:val="00A519FB"/>
    <w:rsid w:val="00A5208B"/>
    <w:rsid w:val="00A52540"/>
    <w:rsid w:val="00A525B6"/>
    <w:rsid w:val="00A52F77"/>
    <w:rsid w:val="00A533AF"/>
    <w:rsid w:val="00A53418"/>
    <w:rsid w:val="00A53988"/>
    <w:rsid w:val="00A54245"/>
    <w:rsid w:val="00A543C3"/>
    <w:rsid w:val="00A54494"/>
    <w:rsid w:val="00A54701"/>
    <w:rsid w:val="00A5481C"/>
    <w:rsid w:val="00A54E1F"/>
    <w:rsid w:val="00A552FE"/>
    <w:rsid w:val="00A5604A"/>
    <w:rsid w:val="00A56114"/>
    <w:rsid w:val="00A56971"/>
    <w:rsid w:val="00A574DD"/>
    <w:rsid w:val="00A57650"/>
    <w:rsid w:val="00A607B9"/>
    <w:rsid w:val="00A60806"/>
    <w:rsid w:val="00A6081A"/>
    <w:rsid w:val="00A61360"/>
    <w:rsid w:val="00A617A1"/>
    <w:rsid w:val="00A61FE2"/>
    <w:rsid w:val="00A6370E"/>
    <w:rsid w:val="00A63933"/>
    <w:rsid w:val="00A6401D"/>
    <w:rsid w:val="00A6402B"/>
    <w:rsid w:val="00A6412B"/>
    <w:rsid w:val="00A64A36"/>
    <w:rsid w:val="00A64D80"/>
    <w:rsid w:val="00A65009"/>
    <w:rsid w:val="00A654D2"/>
    <w:rsid w:val="00A6565E"/>
    <w:rsid w:val="00A65F59"/>
    <w:rsid w:val="00A663C5"/>
    <w:rsid w:val="00A66D54"/>
    <w:rsid w:val="00A67385"/>
    <w:rsid w:val="00A67B63"/>
    <w:rsid w:val="00A67D41"/>
    <w:rsid w:val="00A67E6E"/>
    <w:rsid w:val="00A707D0"/>
    <w:rsid w:val="00A70D86"/>
    <w:rsid w:val="00A711BC"/>
    <w:rsid w:val="00A718B4"/>
    <w:rsid w:val="00A718E3"/>
    <w:rsid w:val="00A71BF6"/>
    <w:rsid w:val="00A72519"/>
    <w:rsid w:val="00A72706"/>
    <w:rsid w:val="00A728E4"/>
    <w:rsid w:val="00A72A6A"/>
    <w:rsid w:val="00A72A8F"/>
    <w:rsid w:val="00A72C1A"/>
    <w:rsid w:val="00A72C92"/>
    <w:rsid w:val="00A73281"/>
    <w:rsid w:val="00A733F0"/>
    <w:rsid w:val="00A73671"/>
    <w:rsid w:val="00A73B21"/>
    <w:rsid w:val="00A74565"/>
    <w:rsid w:val="00A74DA4"/>
    <w:rsid w:val="00A75206"/>
    <w:rsid w:val="00A75602"/>
    <w:rsid w:val="00A759F1"/>
    <w:rsid w:val="00A75A8C"/>
    <w:rsid w:val="00A75CEC"/>
    <w:rsid w:val="00A75DE3"/>
    <w:rsid w:val="00A75EEE"/>
    <w:rsid w:val="00A76726"/>
    <w:rsid w:val="00A775F0"/>
    <w:rsid w:val="00A77890"/>
    <w:rsid w:val="00A80087"/>
    <w:rsid w:val="00A8044E"/>
    <w:rsid w:val="00A80914"/>
    <w:rsid w:val="00A80CA8"/>
    <w:rsid w:val="00A8117E"/>
    <w:rsid w:val="00A81674"/>
    <w:rsid w:val="00A81A50"/>
    <w:rsid w:val="00A81B28"/>
    <w:rsid w:val="00A81E31"/>
    <w:rsid w:val="00A81E8E"/>
    <w:rsid w:val="00A81F29"/>
    <w:rsid w:val="00A820CA"/>
    <w:rsid w:val="00A82491"/>
    <w:rsid w:val="00A8254E"/>
    <w:rsid w:val="00A82646"/>
    <w:rsid w:val="00A82B9E"/>
    <w:rsid w:val="00A82C9D"/>
    <w:rsid w:val="00A8309B"/>
    <w:rsid w:val="00A831CB"/>
    <w:rsid w:val="00A83305"/>
    <w:rsid w:val="00A83AA2"/>
    <w:rsid w:val="00A83E92"/>
    <w:rsid w:val="00A842DF"/>
    <w:rsid w:val="00A84E2D"/>
    <w:rsid w:val="00A84F34"/>
    <w:rsid w:val="00A852CE"/>
    <w:rsid w:val="00A85340"/>
    <w:rsid w:val="00A8599D"/>
    <w:rsid w:val="00A85A51"/>
    <w:rsid w:val="00A86244"/>
    <w:rsid w:val="00A86397"/>
    <w:rsid w:val="00A86458"/>
    <w:rsid w:val="00A8686F"/>
    <w:rsid w:val="00A86A9D"/>
    <w:rsid w:val="00A86B20"/>
    <w:rsid w:val="00A86C5B"/>
    <w:rsid w:val="00A870D0"/>
    <w:rsid w:val="00A874D9"/>
    <w:rsid w:val="00A879A6"/>
    <w:rsid w:val="00A87D57"/>
    <w:rsid w:val="00A87FAA"/>
    <w:rsid w:val="00A90422"/>
    <w:rsid w:val="00A9065D"/>
    <w:rsid w:val="00A90E47"/>
    <w:rsid w:val="00A90E58"/>
    <w:rsid w:val="00A90EB0"/>
    <w:rsid w:val="00A90ED3"/>
    <w:rsid w:val="00A9101A"/>
    <w:rsid w:val="00A910AE"/>
    <w:rsid w:val="00A91320"/>
    <w:rsid w:val="00A9136E"/>
    <w:rsid w:val="00A91631"/>
    <w:rsid w:val="00A921BB"/>
    <w:rsid w:val="00A92211"/>
    <w:rsid w:val="00A92EDD"/>
    <w:rsid w:val="00A93B68"/>
    <w:rsid w:val="00A93CCA"/>
    <w:rsid w:val="00A9440E"/>
    <w:rsid w:val="00A945E5"/>
    <w:rsid w:val="00A94FAA"/>
    <w:rsid w:val="00A94FFF"/>
    <w:rsid w:val="00A9587A"/>
    <w:rsid w:val="00A959D5"/>
    <w:rsid w:val="00A961CD"/>
    <w:rsid w:val="00A96592"/>
    <w:rsid w:val="00A96689"/>
    <w:rsid w:val="00A9673E"/>
    <w:rsid w:val="00A96E39"/>
    <w:rsid w:val="00A96E6A"/>
    <w:rsid w:val="00A97A0B"/>
    <w:rsid w:val="00A97CFC"/>
    <w:rsid w:val="00AA0157"/>
    <w:rsid w:val="00AA0229"/>
    <w:rsid w:val="00AA03C7"/>
    <w:rsid w:val="00AA0564"/>
    <w:rsid w:val="00AA086B"/>
    <w:rsid w:val="00AA0C2E"/>
    <w:rsid w:val="00AA0E49"/>
    <w:rsid w:val="00AA100E"/>
    <w:rsid w:val="00AA11CC"/>
    <w:rsid w:val="00AA1C1F"/>
    <w:rsid w:val="00AA1FB8"/>
    <w:rsid w:val="00AA202D"/>
    <w:rsid w:val="00AA32B8"/>
    <w:rsid w:val="00AA39AC"/>
    <w:rsid w:val="00AA3B45"/>
    <w:rsid w:val="00AA3C6F"/>
    <w:rsid w:val="00AA3CAC"/>
    <w:rsid w:val="00AA3D14"/>
    <w:rsid w:val="00AA451C"/>
    <w:rsid w:val="00AA50E7"/>
    <w:rsid w:val="00AA56EE"/>
    <w:rsid w:val="00AA58D4"/>
    <w:rsid w:val="00AA5C09"/>
    <w:rsid w:val="00AA60CE"/>
    <w:rsid w:val="00AA6974"/>
    <w:rsid w:val="00AA7012"/>
    <w:rsid w:val="00AA7320"/>
    <w:rsid w:val="00AA7798"/>
    <w:rsid w:val="00AB01D3"/>
    <w:rsid w:val="00AB1194"/>
    <w:rsid w:val="00AB1204"/>
    <w:rsid w:val="00AB13A0"/>
    <w:rsid w:val="00AB1865"/>
    <w:rsid w:val="00AB1A66"/>
    <w:rsid w:val="00AB1EBE"/>
    <w:rsid w:val="00AB1ED5"/>
    <w:rsid w:val="00AB1FEF"/>
    <w:rsid w:val="00AB20DE"/>
    <w:rsid w:val="00AB2461"/>
    <w:rsid w:val="00AB2C74"/>
    <w:rsid w:val="00AB3454"/>
    <w:rsid w:val="00AB346D"/>
    <w:rsid w:val="00AB392D"/>
    <w:rsid w:val="00AB3D2E"/>
    <w:rsid w:val="00AB44BD"/>
    <w:rsid w:val="00AB4B81"/>
    <w:rsid w:val="00AB4CF3"/>
    <w:rsid w:val="00AB507B"/>
    <w:rsid w:val="00AB52B2"/>
    <w:rsid w:val="00AB592F"/>
    <w:rsid w:val="00AB5B58"/>
    <w:rsid w:val="00AB5BA7"/>
    <w:rsid w:val="00AB5E67"/>
    <w:rsid w:val="00AB5FE9"/>
    <w:rsid w:val="00AB60FB"/>
    <w:rsid w:val="00AB615F"/>
    <w:rsid w:val="00AB633D"/>
    <w:rsid w:val="00AB6409"/>
    <w:rsid w:val="00AB643E"/>
    <w:rsid w:val="00AB68DE"/>
    <w:rsid w:val="00AB69AA"/>
    <w:rsid w:val="00AB738D"/>
    <w:rsid w:val="00AB759A"/>
    <w:rsid w:val="00AB7BA2"/>
    <w:rsid w:val="00AB7BC7"/>
    <w:rsid w:val="00AB7E78"/>
    <w:rsid w:val="00AC0121"/>
    <w:rsid w:val="00AC01BC"/>
    <w:rsid w:val="00AC1506"/>
    <w:rsid w:val="00AC1600"/>
    <w:rsid w:val="00AC2094"/>
    <w:rsid w:val="00AC21E4"/>
    <w:rsid w:val="00AC237D"/>
    <w:rsid w:val="00AC251C"/>
    <w:rsid w:val="00AC2639"/>
    <w:rsid w:val="00AC264F"/>
    <w:rsid w:val="00AC2B24"/>
    <w:rsid w:val="00AC2EA5"/>
    <w:rsid w:val="00AC3849"/>
    <w:rsid w:val="00AC39A5"/>
    <w:rsid w:val="00AC3C92"/>
    <w:rsid w:val="00AC3D3F"/>
    <w:rsid w:val="00AC45C7"/>
    <w:rsid w:val="00AC4841"/>
    <w:rsid w:val="00AC4AF5"/>
    <w:rsid w:val="00AC4B9A"/>
    <w:rsid w:val="00AC4FCD"/>
    <w:rsid w:val="00AC542B"/>
    <w:rsid w:val="00AC5874"/>
    <w:rsid w:val="00AC644D"/>
    <w:rsid w:val="00AC6899"/>
    <w:rsid w:val="00AC6B37"/>
    <w:rsid w:val="00AC6DE0"/>
    <w:rsid w:val="00AC6E57"/>
    <w:rsid w:val="00AC72E8"/>
    <w:rsid w:val="00AC770F"/>
    <w:rsid w:val="00AC7FAB"/>
    <w:rsid w:val="00AD0026"/>
    <w:rsid w:val="00AD0082"/>
    <w:rsid w:val="00AD067F"/>
    <w:rsid w:val="00AD0744"/>
    <w:rsid w:val="00AD0810"/>
    <w:rsid w:val="00AD0C8D"/>
    <w:rsid w:val="00AD0F27"/>
    <w:rsid w:val="00AD0F35"/>
    <w:rsid w:val="00AD18BE"/>
    <w:rsid w:val="00AD1C48"/>
    <w:rsid w:val="00AD2383"/>
    <w:rsid w:val="00AD33D4"/>
    <w:rsid w:val="00AD3654"/>
    <w:rsid w:val="00AD37E5"/>
    <w:rsid w:val="00AD3E48"/>
    <w:rsid w:val="00AD458F"/>
    <w:rsid w:val="00AD4719"/>
    <w:rsid w:val="00AD4A33"/>
    <w:rsid w:val="00AD4CB1"/>
    <w:rsid w:val="00AD4D6D"/>
    <w:rsid w:val="00AD543B"/>
    <w:rsid w:val="00AD56C2"/>
    <w:rsid w:val="00AD5782"/>
    <w:rsid w:val="00AD5BB4"/>
    <w:rsid w:val="00AD5BDA"/>
    <w:rsid w:val="00AD6572"/>
    <w:rsid w:val="00AD695C"/>
    <w:rsid w:val="00AD6E9A"/>
    <w:rsid w:val="00AD6F7E"/>
    <w:rsid w:val="00AD7B47"/>
    <w:rsid w:val="00AE00A2"/>
    <w:rsid w:val="00AE01B4"/>
    <w:rsid w:val="00AE1BDC"/>
    <w:rsid w:val="00AE2A0F"/>
    <w:rsid w:val="00AE2F2F"/>
    <w:rsid w:val="00AE315C"/>
    <w:rsid w:val="00AE317C"/>
    <w:rsid w:val="00AE323F"/>
    <w:rsid w:val="00AE348C"/>
    <w:rsid w:val="00AE37AD"/>
    <w:rsid w:val="00AE3BB3"/>
    <w:rsid w:val="00AE440E"/>
    <w:rsid w:val="00AE476B"/>
    <w:rsid w:val="00AE4872"/>
    <w:rsid w:val="00AE49D5"/>
    <w:rsid w:val="00AE4C2A"/>
    <w:rsid w:val="00AE57B2"/>
    <w:rsid w:val="00AE611B"/>
    <w:rsid w:val="00AE62F4"/>
    <w:rsid w:val="00AE6502"/>
    <w:rsid w:val="00AE6569"/>
    <w:rsid w:val="00AE65C5"/>
    <w:rsid w:val="00AE6F9D"/>
    <w:rsid w:val="00AE6FB2"/>
    <w:rsid w:val="00AE77BD"/>
    <w:rsid w:val="00AE7BCF"/>
    <w:rsid w:val="00AF0AF4"/>
    <w:rsid w:val="00AF0F86"/>
    <w:rsid w:val="00AF1052"/>
    <w:rsid w:val="00AF19F3"/>
    <w:rsid w:val="00AF1B1C"/>
    <w:rsid w:val="00AF1F85"/>
    <w:rsid w:val="00AF231A"/>
    <w:rsid w:val="00AF2546"/>
    <w:rsid w:val="00AF2B4E"/>
    <w:rsid w:val="00AF35F4"/>
    <w:rsid w:val="00AF3DBB"/>
    <w:rsid w:val="00AF4099"/>
    <w:rsid w:val="00AF4618"/>
    <w:rsid w:val="00AF4AE7"/>
    <w:rsid w:val="00AF4F3E"/>
    <w:rsid w:val="00AF52B1"/>
    <w:rsid w:val="00AF5A1F"/>
    <w:rsid w:val="00AF6229"/>
    <w:rsid w:val="00AF6318"/>
    <w:rsid w:val="00AF6475"/>
    <w:rsid w:val="00AF65D0"/>
    <w:rsid w:val="00AF6693"/>
    <w:rsid w:val="00AF685C"/>
    <w:rsid w:val="00AF6DE8"/>
    <w:rsid w:val="00AF70E9"/>
    <w:rsid w:val="00AF72E5"/>
    <w:rsid w:val="00AF73A2"/>
    <w:rsid w:val="00AF75E5"/>
    <w:rsid w:val="00AF7CC4"/>
    <w:rsid w:val="00B0063E"/>
    <w:rsid w:val="00B007DB"/>
    <w:rsid w:val="00B00B62"/>
    <w:rsid w:val="00B00DAC"/>
    <w:rsid w:val="00B00DF5"/>
    <w:rsid w:val="00B00F63"/>
    <w:rsid w:val="00B01310"/>
    <w:rsid w:val="00B01C6B"/>
    <w:rsid w:val="00B02141"/>
    <w:rsid w:val="00B022AF"/>
    <w:rsid w:val="00B033D0"/>
    <w:rsid w:val="00B03AE5"/>
    <w:rsid w:val="00B03DCD"/>
    <w:rsid w:val="00B03E0B"/>
    <w:rsid w:val="00B045A9"/>
    <w:rsid w:val="00B045D6"/>
    <w:rsid w:val="00B04E3B"/>
    <w:rsid w:val="00B054C6"/>
    <w:rsid w:val="00B0551C"/>
    <w:rsid w:val="00B05EEE"/>
    <w:rsid w:val="00B05F30"/>
    <w:rsid w:val="00B06394"/>
    <w:rsid w:val="00B06A1B"/>
    <w:rsid w:val="00B0755C"/>
    <w:rsid w:val="00B076C5"/>
    <w:rsid w:val="00B07EAE"/>
    <w:rsid w:val="00B1064F"/>
    <w:rsid w:val="00B1077D"/>
    <w:rsid w:val="00B10811"/>
    <w:rsid w:val="00B10B7E"/>
    <w:rsid w:val="00B11423"/>
    <w:rsid w:val="00B11841"/>
    <w:rsid w:val="00B11BD0"/>
    <w:rsid w:val="00B11D91"/>
    <w:rsid w:val="00B120F9"/>
    <w:rsid w:val="00B12D75"/>
    <w:rsid w:val="00B13E18"/>
    <w:rsid w:val="00B13E3A"/>
    <w:rsid w:val="00B14537"/>
    <w:rsid w:val="00B1471D"/>
    <w:rsid w:val="00B1474E"/>
    <w:rsid w:val="00B1487F"/>
    <w:rsid w:val="00B14BAC"/>
    <w:rsid w:val="00B15319"/>
    <w:rsid w:val="00B1586D"/>
    <w:rsid w:val="00B15F79"/>
    <w:rsid w:val="00B1620D"/>
    <w:rsid w:val="00B17327"/>
    <w:rsid w:val="00B201D3"/>
    <w:rsid w:val="00B203E6"/>
    <w:rsid w:val="00B2049A"/>
    <w:rsid w:val="00B204A5"/>
    <w:rsid w:val="00B20722"/>
    <w:rsid w:val="00B2083B"/>
    <w:rsid w:val="00B20F9F"/>
    <w:rsid w:val="00B21A3A"/>
    <w:rsid w:val="00B21B4C"/>
    <w:rsid w:val="00B21CD4"/>
    <w:rsid w:val="00B21F41"/>
    <w:rsid w:val="00B2217D"/>
    <w:rsid w:val="00B2225A"/>
    <w:rsid w:val="00B225AB"/>
    <w:rsid w:val="00B2287F"/>
    <w:rsid w:val="00B23003"/>
    <w:rsid w:val="00B23535"/>
    <w:rsid w:val="00B2381E"/>
    <w:rsid w:val="00B2395D"/>
    <w:rsid w:val="00B23FF2"/>
    <w:rsid w:val="00B24748"/>
    <w:rsid w:val="00B252E6"/>
    <w:rsid w:val="00B25CC2"/>
    <w:rsid w:val="00B25D5E"/>
    <w:rsid w:val="00B26057"/>
    <w:rsid w:val="00B26076"/>
    <w:rsid w:val="00B2616C"/>
    <w:rsid w:val="00B26189"/>
    <w:rsid w:val="00B2618E"/>
    <w:rsid w:val="00B261A0"/>
    <w:rsid w:val="00B26275"/>
    <w:rsid w:val="00B26763"/>
    <w:rsid w:val="00B273DB"/>
    <w:rsid w:val="00B2756A"/>
    <w:rsid w:val="00B275C8"/>
    <w:rsid w:val="00B27640"/>
    <w:rsid w:val="00B27BC7"/>
    <w:rsid w:val="00B30207"/>
    <w:rsid w:val="00B304F3"/>
    <w:rsid w:val="00B307FC"/>
    <w:rsid w:val="00B3093D"/>
    <w:rsid w:val="00B30A97"/>
    <w:rsid w:val="00B30B61"/>
    <w:rsid w:val="00B30BE1"/>
    <w:rsid w:val="00B30DE5"/>
    <w:rsid w:val="00B30F49"/>
    <w:rsid w:val="00B30FA2"/>
    <w:rsid w:val="00B311F7"/>
    <w:rsid w:val="00B31327"/>
    <w:rsid w:val="00B31A53"/>
    <w:rsid w:val="00B32064"/>
    <w:rsid w:val="00B32148"/>
    <w:rsid w:val="00B32292"/>
    <w:rsid w:val="00B3292C"/>
    <w:rsid w:val="00B329E6"/>
    <w:rsid w:val="00B331CD"/>
    <w:rsid w:val="00B335A3"/>
    <w:rsid w:val="00B33873"/>
    <w:rsid w:val="00B33B21"/>
    <w:rsid w:val="00B34982"/>
    <w:rsid w:val="00B34AC2"/>
    <w:rsid w:val="00B354A7"/>
    <w:rsid w:val="00B354FB"/>
    <w:rsid w:val="00B359C7"/>
    <w:rsid w:val="00B3605C"/>
    <w:rsid w:val="00B36611"/>
    <w:rsid w:val="00B3710D"/>
    <w:rsid w:val="00B37BF1"/>
    <w:rsid w:val="00B37FD3"/>
    <w:rsid w:val="00B4032C"/>
    <w:rsid w:val="00B40FD8"/>
    <w:rsid w:val="00B4230B"/>
    <w:rsid w:val="00B42371"/>
    <w:rsid w:val="00B4274D"/>
    <w:rsid w:val="00B43198"/>
    <w:rsid w:val="00B435E7"/>
    <w:rsid w:val="00B437F9"/>
    <w:rsid w:val="00B4394B"/>
    <w:rsid w:val="00B43CB7"/>
    <w:rsid w:val="00B444E7"/>
    <w:rsid w:val="00B445A4"/>
    <w:rsid w:val="00B4474E"/>
    <w:rsid w:val="00B44801"/>
    <w:rsid w:val="00B44835"/>
    <w:rsid w:val="00B45229"/>
    <w:rsid w:val="00B4537E"/>
    <w:rsid w:val="00B456E1"/>
    <w:rsid w:val="00B457C3"/>
    <w:rsid w:val="00B4586F"/>
    <w:rsid w:val="00B459F6"/>
    <w:rsid w:val="00B45A0C"/>
    <w:rsid w:val="00B45DB9"/>
    <w:rsid w:val="00B4629B"/>
    <w:rsid w:val="00B46A75"/>
    <w:rsid w:val="00B46FFB"/>
    <w:rsid w:val="00B47047"/>
    <w:rsid w:val="00B47360"/>
    <w:rsid w:val="00B4749A"/>
    <w:rsid w:val="00B474DB"/>
    <w:rsid w:val="00B475B6"/>
    <w:rsid w:val="00B47610"/>
    <w:rsid w:val="00B47FC4"/>
    <w:rsid w:val="00B501FD"/>
    <w:rsid w:val="00B5047C"/>
    <w:rsid w:val="00B50681"/>
    <w:rsid w:val="00B50AF5"/>
    <w:rsid w:val="00B50D09"/>
    <w:rsid w:val="00B50E45"/>
    <w:rsid w:val="00B50FE6"/>
    <w:rsid w:val="00B51371"/>
    <w:rsid w:val="00B5147F"/>
    <w:rsid w:val="00B51AEA"/>
    <w:rsid w:val="00B51DF4"/>
    <w:rsid w:val="00B51EB8"/>
    <w:rsid w:val="00B53097"/>
    <w:rsid w:val="00B53789"/>
    <w:rsid w:val="00B539B4"/>
    <w:rsid w:val="00B539CF"/>
    <w:rsid w:val="00B542CF"/>
    <w:rsid w:val="00B54633"/>
    <w:rsid w:val="00B548D0"/>
    <w:rsid w:val="00B5492C"/>
    <w:rsid w:val="00B54F3D"/>
    <w:rsid w:val="00B554CE"/>
    <w:rsid w:val="00B55A0E"/>
    <w:rsid w:val="00B561F0"/>
    <w:rsid w:val="00B56282"/>
    <w:rsid w:val="00B569C3"/>
    <w:rsid w:val="00B569E9"/>
    <w:rsid w:val="00B571C1"/>
    <w:rsid w:val="00B572FE"/>
    <w:rsid w:val="00B57421"/>
    <w:rsid w:val="00B5786B"/>
    <w:rsid w:val="00B57C32"/>
    <w:rsid w:val="00B605B9"/>
    <w:rsid w:val="00B60CC7"/>
    <w:rsid w:val="00B60F4A"/>
    <w:rsid w:val="00B61259"/>
    <w:rsid w:val="00B61400"/>
    <w:rsid w:val="00B616D7"/>
    <w:rsid w:val="00B6190D"/>
    <w:rsid w:val="00B61A9E"/>
    <w:rsid w:val="00B61BC9"/>
    <w:rsid w:val="00B62A28"/>
    <w:rsid w:val="00B62B31"/>
    <w:rsid w:val="00B62C29"/>
    <w:rsid w:val="00B62C35"/>
    <w:rsid w:val="00B639B6"/>
    <w:rsid w:val="00B63ED8"/>
    <w:rsid w:val="00B645A9"/>
    <w:rsid w:val="00B64C68"/>
    <w:rsid w:val="00B6508B"/>
    <w:rsid w:val="00B650EF"/>
    <w:rsid w:val="00B65445"/>
    <w:rsid w:val="00B6552C"/>
    <w:rsid w:val="00B65661"/>
    <w:rsid w:val="00B6589C"/>
    <w:rsid w:val="00B65AEC"/>
    <w:rsid w:val="00B65D72"/>
    <w:rsid w:val="00B65F5E"/>
    <w:rsid w:val="00B66490"/>
    <w:rsid w:val="00B6675F"/>
    <w:rsid w:val="00B66BA5"/>
    <w:rsid w:val="00B67807"/>
    <w:rsid w:val="00B67B8F"/>
    <w:rsid w:val="00B70774"/>
    <w:rsid w:val="00B70A98"/>
    <w:rsid w:val="00B70AFB"/>
    <w:rsid w:val="00B70B3E"/>
    <w:rsid w:val="00B718AF"/>
    <w:rsid w:val="00B71D75"/>
    <w:rsid w:val="00B7235D"/>
    <w:rsid w:val="00B72572"/>
    <w:rsid w:val="00B728A0"/>
    <w:rsid w:val="00B72C21"/>
    <w:rsid w:val="00B73063"/>
    <w:rsid w:val="00B7315B"/>
    <w:rsid w:val="00B7343B"/>
    <w:rsid w:val="00B73735"/>
    <w:rsid w:val="00B73FF2"/>
    <w:rsid w:val="00B7404E"/>
    <w:rsid w:val="00B74A48"/>
    <w:rsid w:val="00B7503C"/>
    <w:rsid w:val="00B75448"/>
    <w:rsid w:val="00B754A9"/>
    <w:rsid w:val="00B75DDB"/>
    <w:rsid w:val="00B75E04"/>
    <w:rsid w:val="00B761F0"/>
    <w:rsid w:val="00B76273"/>
    <w:rsid w:val="00B7684C"/>
    <w:rsid w:val="00B77098"/>
    <w:rsid w:val="00B77939"/>
    <w:rsid w:val="00B7796D"/>
    <w:rsid w:val="00B77BF9"/>
    <w:rsid w:val="00B77F00"/>
    <w:rsid w:val="00B801A1"/>
    <w:rsid w:val="00B801E8"/>
    <w:rsid w:val="00B808CA"/>
    <w:rsid w:val="00B80A81"/>
    <w:rsid w:val="00B80B05"/>
    <w:rsid w:val="00B80B99"/>
    <w:rsid w:val="00B80C6F"/>
    <w:rsid w:val="00B80D0E"/>
    <w:rsid w:val="00B80F06"/>
    <w:rsid w:val="00B81340"/>
    <w:rsid w:val="00B813BB"/>
    <w:rsid w:val="00B816CB"/>
    <w:rsid w:val="00B818EB"/>
    <w:rsid w:val="00B819EA"/>
    <w:rsid w:val="00B81CCA"/>
    <w:rsid w:val="00B81EC5"/>
    <w:rsid w:val="00B82678"/>
    <w:rsid w:val="00B8289F"/>
    <w:rsid w:val="00B83023"/>
    <w:rsid w:val="00B836A3"/>
    <w:rsid w:val="00B837DC"/>
    <w:rsid w:val="00B843EB"/>
    <w:rsid w:val="00B844C0"/>
    <w:rsid w:val="00B8488B"/>
    <w:rsid w:val="00B84B3B"/>
    <w:rsid w:val="00B84B90"/>
    <w:rsid w:val="00B85683"/>
    <w:rsid w:val="00B85DD9"/>
    <w:rsid w:val="00B86435"/>
    <w:rsid w:val="00B86715"/>
    <w:rsid w:val="00B86A34"/>
    <w:rsid w:val="00B86B82"/>
    <w:rsid w:val="00B878C2"/>
    <w:rsid w:val="00B90098"/>
    <w:rsid w:val="00B900CA"/>
    <w:rsid w:val="00B900D1"/>
    <w:rsid w:val="00B90182"/>
    <w:rsid w:val="00B90334"/>
    <w:rsid w:val="00B90F3E"/>
    <w:rsid w:val="00B9210D"/>
    <w:rsid w:val="00B927A9"/>
    <w:rsid w:val="00B929A3"/>
    <w:rsid w:val="00B92D5E"/>
    <w:rsid w:val="00B92DBE"/>
    <w:rsid w:val="00B930FA"/>
    <w:rsid w:val="00B935B5"/>
    <w:rsid w:val="00B93890"/>
    <w:rsid w:val="00B93B3C"/>
    <w:rsid w:val="00B9414A"/>
    <w:rsid w:val="00B942CD"/>
    <w:rsid w:val="00B944A2"/>
    <w:rsid w:val="00B94651"/>
    <w:rsid w:val="00B946D0"/>
    <w:rsid w:val="00B94A7D"/>
    <w:rsid w:val="00B94AEE"/>
    <w:rsid w:val="00B955D9"/>
    <w:rsid w:val="00B95A4A"/>
    <w:rsid w:val="00B95D11"/>
    <w:rsid w:val="00B96453"/>
    <w:rsid w:val="00B96978"/>
    <w:rsid w:val="00B97246"/>
    <w:rsid w:val="00B977DB"/>
    <w:rsid w:val="00B97FF7"/>
    <w:rsid w:val="00BA06FB"/>
    <w:rsid w:val="00BA0836"/>
    <w:rsid w:val="00BA08B3"/>
    <w:rsid w:val="00BA0932"/>
    <w:rsid w:val="00BA095F"/>
    <w:rsid w:val="00BA0B0A"/>
    <w:rsid w:val="00BA0E4E"/>
    <w:rsid w:val="00BA0E58"/>
    <w:rsid w:val="00BA0F9B"/>
    <w:rsid w:val="00BA11AD"/>
    <w:rsid w:val="00BA132E"/>
    <w:rsid w:val="00BA1595"/>
    <w:rsid w:val="00BA17F5"/>
    <w:rsid w:val="00BA1BA6"/>
    <w:rsid w:val="00BA1D27"/>
    <w:rsid w:val="00BA26D9"/>
    <w:rsid w:val="00BA2B8E"/>
    <w:rsid w:val="00BA3021"/>
    <w:rsid w:val="00BA39CA"/>
    <w:rsid w:val="00BA3A5B"/>
    <w:rsid w:val="00BA3B1A"/>
    <w:rsid w:val="00BA3C08"/>
    <w:rsid w:val="00BA3EF6"/>
    <w:rsid w:val="00BA4D58"/>
    <w:rsid w:val="00BA51FA"/>
    <w:rsid w:val="00BA52A7"/>
    <w:rsid w:val="00BA52E3"/>
    <w:rsid w:val="00BA54F8"/>
    <w:rsid w:val="00BA57FB"/>
    <w:rsid w:val="00BA5CA8"/>
    <w:rsid w:val="00BA6BAC"/>
    <w:rsid w:val="00BA6DC7"/>
    <w:rsid w:val="00BA7217"/>
    <w:rsid w:val="00BA73CD"/>
    <w:rsid w:val="00BA74FA"/>
    <w:rsid w:val="00BA7A2D"/>
    <w:rsid w:val="00BA7E36"/>
    <w:rsid w:val="00BB0B76"/>
    <w:rsid w:val="00BB0EF5"/>
    <w:rsid w:val="00BB0FD6"/>
    <w:rsid w:val="00BB1915"/>
    <w:rsid w:val="00BB19AB"/>
    <w:rsid w:val="00BB2073"/>
    <w:rsid w:val="00BB2909"/>
    <w:rsid w:val="00BB2A16"/>
    <w:rsid w:val="00BB2D18"/>
    <w:rsid w:val="00BB2D75"/>
    <w:rsid w:val="00BB2F58"/>
    <w:rsid w:val="00BB2F7C"/>
    <w:rsid w:val="00BB2FC0"/>
    <w:rsid w:val="00BB3169"/>
    <w:rsid w:val="00BB33B7"/>
    <w:rsid w:val="00BB354E"/>
    <w:rsid w:val="00BB3A21"/>
    <w:rsid w:val="00BB3EFE"/>
    <w:rsid w:val="00BB4E3B"/>
    <w:rsid w:val="00BB517A"/>
    <w:rsid w:val="00BB52E4"/>
    <w:rsid w:val="00BB55F5"/>
    <w:rsid w:val="00BB5924"/>
    <w:rsid w:val="00BB5978"/>
    <w:rsid w:val="00BB5A84"/>
    <w:rsid w:val="00BB62E1"/>
    <w:rsid w:val="00BB6549"/>
    <w:rsid w:val="00BB65B7"/>
    <w:rsid w:val="00BB6B4F"/>
    <w:rsid w:val="00BB6C4F"/>
    <w:rsid w:val="00BB6D58"/>
    <w:rsid w:val="00BB6EA4"/>
    <w:rsid w:val="00BB736B"/>
    <w:rsid w:val="00BC01B9"/>
    <w:rsid w:val="00BC0DCB"/>
    <w:rsid w:val="00BC11A1"/>
    <w:rsid w:val="00BC24B8"/>
    <w:rsid w:val="00BC279C"/>
    <w:rsid w:val="00BC2831"/>
    <w:rsid w:val="00BC30DF"/>
    <w:rsid w:val="00BC34C0"/>
    <w:rsid w:val="00BC3625"/>
    <w:rsid w:val="00BC3BF7"/>
    <w:rsid w:val="00BC3F27"/>
    <w:rsid w:val="00BC4210"/>
    <w:rsid w:val="00BC44D5"/>
    <w:rsid w:val="00BC46C6"/>
    <w:rsid w:val="00BC473A"/>
    <w:rsid w:val="00BC4811"/>
    <w:rsid w:val="00BC48EA"/>
    <w:rsid w:val="00BC492F"/>
    <w:rsid w:val="00BC4A2E"/>
    <w:rsid w:val="00BC50A6"/>
    <w:rsid w:val="00BC50CA"/>
    <w:rsid w:val="00BC5A3C"/>
    <w:rsid w:val="00BC5C19"/>
    <w:rsid w:val="00BC5E5F"/>
    <w:rsid w:val="00BC655D"/>
    <w:rsid w:val="00BC678D"/>
    <w:rsid w:val="00BC697A"/>
    <w:rsid w:val="00BC6990"/>
    <w:rsid w:val="00BC69D8"/>
    <w:rsid w:val="00BC6C89"/>
    <w:rsid w:val="00BC6F93"/>
    <w:rsid w:val="00BC7248"/>
    <w:rsid w:val="00BC7356"/>
    <w:rsid w:val="00BC79CB"/>
    <w:rsid w:val="00BC7A77"/>
    <w:rsid w:val="00BC7A9E"/>
    <w:rsid w:val="00BC7D21"/>
    <w:rsid w:val="00BD029F"/>
    <w:rsid w:val="00BD0408"/>
    <w:rsid w:val="00BD0619"/>
    <w:rsid w:val="00BD0629"/>
    <w:rsid w:val="00BD0642"/>
    <w:rsid w:val="00BD06BE"/>
    <w:rsid w:val="00BD0BF7"/>
    <w:rsid w:val="00BD0C96"/>
    <w:rsid w:val="00BD0FE2"/>
    <w:rsid w:val="00BD1875"/>
    <w:rsid w:val="00BD1C5B"/>
    <w:rsid w:val="00BD202A"/>
    <w:rsid w:val="00BD232B"/>
    <w:rsid w:val="00BD2FF4"/>
    <w:rsid w:val="00BD3B25"/>
    <w:rsid w:val="00BD3EC8"/>
    <w:rsid w:val="00BD3FCD"/>
    <w:rsid w:val="00BD40BC"/>
    <w:rsid w:val="00BD41C1"/>
    <w:rsid w:val="00BD424D"/>
    <w:rsid w:val="00BD49E7"/>
    <w:rsid w:val="00BD4A5D"/>
    <w:rsid w:val="00BD4A9C"/>
    <w:rsid w:val="00BD4CB4"/>
    <w:rsid w:val="00BD4D7B"/>
    <w:rsid w:val="00BD54E7"/>
    <w:rsid w:val="00BD56B6"/>
    <w:rsid w:val="00BD5855"/>
    <w:rsid w:val="00BD5968"/>
    <w:rsid w:val="00BD6408"/>
    <w:rsid w:val="00BD6585"/>
    <w:rsid w:val="00BD69EB"/>
    <w:rsid w:val="00BD7007"/>
    <w:rsid w:val="00BD71DC"/>
    <w:rsid w:val="00BD770E"/>
    <w:rsid w:val="00BD7AB2"/>
    <w:rsid w:val="00BD7B07"/>
    <w:rsid w:val="00BE0DFC"/>
    <w:rsid w:val="00BE0E6E"/>
    <w:rsid w:val="00BE1051"/>
    <w:rsid w:val="00BE1183"/>
    <w:rsid w:val="00BE13F9"/>
    <w:rsid w:val="00BE1836"/>
    <w:rsid w:val="00BE18ED"/>
    <w:rsid w:val="00BE19BC"/>
    <w:rsid w:val="00BE1C37"/>
    <w:rsid w:val="00BE1D53"/>
    <w:rsid w:val="00BE1DD1"/>
    <w:rsid w:val="00BE1DD4"/>
    <w:rsid w:val="00BE1F62"/>
    <w:rsid w:val="00BE2746"/>
    <w:rsid w:val="00BE2FB4"/>
    <w:rsid w:val="00BE31ED"/>
    <w:rsid w:val="00BE35B2"/>
    <w:rsid w:val="00BE3913"/>
    <w:rsid w:val="00BE447D"/>
    <w:rsid w:val="00BE497E"/>
    <w:rsid w:val="00BE4D4F"/>
    <w:rsid w:val="00BE546F"/>
    <w:rsid w:val="00BE56C3"/>
    <w:rsid w:val="00BE5FA5"/>
    <w:rsid w:val="00BE628A"/>
    <w:rsid w:val="00BE6C14"/>
    <w:rsid w:val="00BE6CF6"/>
    <w:rsid w:val="00BE6DB8"/>
    <w:rsid w:val="00BE6FA8"/>
    <w:rsid w:val="00BE749B"/>
    <w:rsid w:val="00BE7C94"/>
    <w:rsid w:val="00BE7FCD"/>
    <w:rsid w:val="00BF005B"/>
    <w:rsid w:val="00BF0B70"/>
    <w:rsid w:val="00BF1308"/>
    <w:rsid w:val="00BF1A44"/>
    <w:rsid w:val="00BF1F37"/>
    <w:rsid w:val="00BF20BE"/>
    <w:rsid w:val="00BF20CD"/>
    <w:rsid w:val="00BF230D"/>
    <w:rsid w:val="00BF25BD"/>
    <w:rsid w:val="00BF268E"/>
    <w:rsid w:val="00BF28C6"/>
    <w:rsid w:val="00BF3722"/>
    <w:rsid w:val="00BF3987"/>
    <w:rsid w:val="00BF4629"/>
    <w:rsid w:val="00BF535C"/>
    <w:rsid w:val="00BF5954"/>
    <w:rsid w:val="00BF59C7"/>
    <w:rsid w:val="00BF62B1"/>
    <w:rsid w:val="00BF6637"/>
    <w:rsid w:val="00BF6A62"/>
    <w:rsid w:val="00BF7A61"/>
    <w:rsid w:val="00C0018F"/>
    <w:rsid w:val="00C00830"/>
    <w:rsid w:val="00C01155"/>
    <w:rsid w:val="00C02802"/>
    <w:rsid w:val="00C02BB7"/>
    <w:rsid w:val="00C02E8E"/>
    <w:rsid w:val="00C03328"/>
    <w:rsid w:val="00C03386"/>
    <w:rsid w:val="00C038C4"/>
    <w:rsid w:val="00C03C42"/>
    <w:rsid w:val="00C03F60"/>
    <w:rsid w:val="00C042F1"/>
    <w:rsid w:val="00C0486A"/>
    <w:rsid w:val="00C049C8"/>
    <w:rsid w:val="00C05201"/>
    <w:rsid w:val="00C0561E"/>
    <w:rsid w:val="00C057CC"/>
    <w:rsid w:val="00C05A7C"/>
    <w:rsid w:val="00C05F8B"/>
    <w:rsid w:val="00C060A4"/>
    <w:rsid w:val="00C06546"/>
    <w:rsid w:val="00C06869"/>
    <w:rsid w:val="00C06BAA"/>
    <w:rsid w:val="00C06F54"/>
    <w:rsid w:val="00C10517"/>
    <w:rsid w:val="00C105CA"/>
    <w:rsid w:val="00C106F4"/>
    <w:rsid w:val="00C110C3"/>
    <w:rsid w:val="00C114C0"/>
    <w:rsid w:val="00C11500"/>
    <w:rsid w:val="00C11713"/>
    <w:rsid w:val="00C11866"/>
    <w:rsid w:val="00C11E8C"/>
    <w:rsid w:val="00C11FC3"/>
    <w:rsid w:val="00C120B0"/>
    <w:rsid w:val="00C1283B"/>
    <w:rsid w:val="00C12990"/>
    <w:rsid w:val="00C129AD"/>
    <w:rsid w:val="00C12DB6"/>
    <w:rsid w:val="00C135BD"/>
    <w:rsid w:val="00C13640"/>
    <w:rsid w:val="00C1369C"/>
    <w:rsid w:val="00C139AC"/>
    <w:rsid w:val="00C13BB9"/>
    <w:rsid w:val="00C13CEF"/>
    <w:rsid w:val="00C1422B"/>
    <w:rsid w:val="00C14B5E"/>
    <w:rsid w:val="00C14BDC"/>
    <w:rsid w:val="00C14D74"/>
    <w:rsid w:val="00C14E7E"/>
    <w:rsid w:val="00C153E0"/>
    <w:rsid w:val="00C15493"/>
    <w:rsid w:val="00C15E54"/>
    <w:rsid w:val="00C16594"/>
    <w:rsid w:val="00C1692E"/>
    <w:rsid w:val="00C16A23"/>
    <w:rsid w:val="00C16B8B"/>
    <w:rsid w:val="00C17472"/>
    <w:rsid w:val="00C2015A"/>
    <w:rsid w:val="00C204E2"/>
    <w:rsid w:val="00C2097B"/>
    <w:rsid w:val="00C212C6"/>
    <w:rsid w:val="00C217D0"/>
    <w:rsid w:val="00C21B62"/>
    <w:rsid w:val="00C21EC0"/>
    <w:rsid w:val="00C22139"/>
    <w:rsid w:val="00C22553"/>
    <w:rsid w:val="00C2257B"/>
    <w:rsid w:val="00C22B3B"/>
    <w:rsid w:val="00C2332E"/>
    <w:rsid w:val="00C23BDB"/>
    <w:rsid w:val="00C23DB2"/>
    <w:rsid w:val="00C24314"/>
    <w:rsid w:val="00C244C3"/>
    <w:rsid w:val="00C2459E"/>
    <w:rsid w:val="00C245D8"/>
    <w:rsid w:val="00C24627"/>
    <w:rsid w:val="00C248CC"/>
    <w:rsid w:val="00C2492A"/>
    <w:rsid w:val="00C24D5F"/>
    <w:rsid w:val="00C24F14"/>
    <w:rsid w:val="00C25026"/>
    <w:rsid w:val="00C25385"/>
    <w:rsid w:val="00C25954"/>
    <w:rsid w:val="00C25D82"/>
    <w:rsid w:val="00C26360"/>
    <w:rsid w:val="00C2667C"/>
    <w:rsid w:val="00C26E49"/>
    <w:rsid w:val="00C27090"/>
    <w:rsid w:val="00C27843"/>
    <w:rsid w:val="00C27BD1"/>
    <w:rsid w:val="00C27CB0"/>
    <w:rsid w:val="00C27ECD"/>
    <w:rsid w:val="00C27F08"/>
    <w:rsid w:val="00C27F12"/>
    <w:rsid w:val="00C301C8"/>
    <w:rsid w:val="00C30548"/>
    <w:rsid w:val="00C30556"/>
    <w:rsid w:val="00C30647"/>
    <w:rsid w:val="00C30BBA"/>
    <w:rsid w:val="00C30DE9"/>
    <w:rsid w:val="00C30E11"/>
    <w:rsid w:val="00C310A6"/>
    <w:rsid w:val="00C31175"/>
    <w:rsid w:val="00C31442"/>
    <w:rsid w:val="00C316D5"/>
    <w:rsid w:val="00C319BB"/>
    <w:rsid w:val="00C31BA7"/>
    <w:rsid w:val="00C31BD9"/>
    <w:rsid w:val="00C31E74"/>
    <w:rsid w:val="00C32014"/>
    <w:rsid w:val="00C322B4"/>
    <w:rsid w:val="00C3297C"/>
    <w:rsid w:val="00C33020"/>
    <w:rsid w:val="00C331A4"/>
    <w:rsid w:val="00C331DE"/>
    <w:rsid w:val="00C334FB"/>
    <w:rsid w:val="00C339D9"/>
    <w:rsid w:val="00C33C15"/>
    <w:rsid w:val="00C34009"/>
    <w:rsid w:val="00C34A03"/>
    <w:rsid w:val="00C34B5F"/>
    <w:rsid w:val="00C35573"/>
    <w:rsid w:val="00C35745"/>
    <w:rsid w:val="00C357F9"/>
    <w:rsid w:val="00C35F85"/>
    <w:rsid w:val="00C36327"/>
    <w:rsid w:val="00C36640"/>
    <w:rsid w:val="00C366F5"/>
    <w:rsid w:val="00C3692D"/>
    <w:rsid w:val="00C36A4A"/>
    <w:rsid w:val="00C36C45"/>
    <w:rsid w:val="00C372AC"/>
    <w:rsid w:val="00C37358"/>
    <w:rsid w:val="00C376A5"/>
    <w:rsid w:val="00C37A23"/>
    <w:rsid w:val="00C37BF2"/>
    <w:rsid w:val="00C37E2E"/>
    <w:rsid w:val="00C400B2"/>
    <w:rsid w:val="00C4050F"/>
    <w:rsid w:val="00C4059B"/>
    <w:rsid w:val="00C408CB"/>
    <w:rsid w:val="00C408ED"/>
    <w:rsid w:val="00C41339"/>
    <w:rsid w:val="00C4186C"/>
    <w:rsid w:val="00C41AF3"/>
    <w:rsid w:val="00C4221F"/>
    <w:rsid w:val="00C42A1B"/>
    <w:rsid w:val="00C42B23"/>
    <w:rsid w:val="00C4318D"/>
    <w:rsid w:val="00C431E5"/>
    <w:rsid w:val="00C43672"/>
    <w:rsid w:val="00C4395B"/>
    <w:rsid w:val="00C43CA7"/>
    <w:rsid w:val="00C43DB3"/>
    <w:rsid w:val="00C4407E"/>
    <w:rsid w:val="00C44114"/>
    <w:rsid w:val="00C441DC"/>
    <w:rsid w:val="00C447A0"/>
    <w:rsid w:val="00C4498E"/>
    <w:rsid w:val="00C44C54"/>
    <w:rsid w:val="00C44DDC"/>
    <w:rsid w:val="00C453FC"/>
    <w:rsid w:val="00C45C0A"/>
    <w:rsid w:val="00C4630D"/>
    <w:rsid w:val="00C465FE"/>
    <w:rsid w:val="00C46C58"/>
    <w:rsid w:val="00C47113"/>
    <w:rsid w:val="00C47785"/>
    <w:rsid w:val="00C478A4"/>
    <w:rsid w:val="00C47A3E"/>
    <w:rsid w:val="00C47D9A"/>
    <w:rsid w:val="00C47FC2"/>
    <w:rsid w:val="00C50252"/>
    <w:rsid w:val="00C50414"/>
    <w:rsid w:val="00C50577"/>
    <w:rsid w:val="00C50891"/>
    <w:rsid w:val="00C50B5D"/>
    <w:rsid w:val="00C50FC9"/>
    <w:rsid w:val="00C5111D"/>
    <w:rsid w:val="00C514C4"/>
    <w:rsid w:val="00C51954"/>
    <w:rsid w:val="00C51BF5"/>
    <w:rsid w:val="00C5258F"/>
    <w:rsid w:val="00C52916"/>
    <w:rsid w:val="00C52F17"/>
    <w:rsid w:val="00C5476F"/>
    <w:rsid w:val="00C549F7"/>
    <w:rsid w:val="00C55BCE"/>
    <w:rsid w:val="00C55E68"/>
    <w:rsid w:val="00C56008"/>
    <w:rsid w:val="00C56546"/>
    <w:rsid w:val="00C56688"/>
    <w:rsid w:val="00C5671C"/>
    <w:rsid w:val="00C569ED"/>
    <w:rsid w:val="00C56A27"/>
    <w:rsid w:val="00C56C1A"/>
    <w:rsid w:val="00C56D79"/>
    <w:rsid w:val="00C56F80"/>
    <w:rsid w:val="00C57249"/>
    <w:rsid w:val="00C572F5"/>
    <w:rsid w:val="00C5741B"/>
    <w:rsid w:val="00C5753A"/>
    <w:rsid w:val="00C57558"/>
    <w:rsid w:val="00C57A55"/>
    <w:rsid w:val="00C57E0F"/>
    <w:rsid w:val="00C57FF5"/>
    <w:rsid w:val="00C600B3"/>
    <w:rsid w:val="00C6053D"/>
    <w:rsid w:val="00C60816"/>
    <w:rsid w:val="00C60B17"/>
    <w:rsid w:val="00C60CB3"/>
    <w:rsid w:val="00C61388"/>
    <w:rsid w:val="00C6162E"/>
    <w:rsid w:val="00C616B2"/>
    <w:rsid w:val="00C61758"/>
    <w:rsid w:val="00C61F6C"/>
    <w:rsid w:val="00C62B0D"/>
    <w:rsid w:val="00C62BFA"/>
    <w:rsid w:val="00C63B38"/>
    <w:rsid w:val="00C63C08"/>
    <w:rsid w:val="00C63CC6"/>
    <w:rsid w:val="00C6487D"/>
    <w:rsid w:val="00C64C61"/>
    <w:rsid w:val="00C65562"/>
    <w:rsid w:val="00C655B0"/>
    <w:rsid w:val="00C6583A"/>
    <w:rsid w:val="00C65C26"/>
    <w:rsid w:val="00C65DA8"/>
    <w:rsid w:val="00C66104"/>
    <w:rsid w:val="00C668D4"/>
    <w:rsid w:val="00C669DC"/>
    <w:rsid w:val="00C66D9D"/>
    <w:rsid w:val="00C67281"/>
    <w:rsid w:val="00C67391"/>
    <w:rsid w:val="00C674B2"/>
    <w:rsid w:val="00C6759C"/>
    <w:rsid w:val="00C67AD5"/>
    <w:rsid w:val="00C67D5D"/>
    <w:rsid w:val="00C701B2"/>
    <w:rsid w:val="00C7066B"/>
    <w:rsid w:val="00C70C52"/>
    <w:rsid w:val="00C70FEC"/>
    <w:rsid w:val="00C717C0"/>
    <w:rsid w:val="00C71868"/>
    <w:rsid w:val="00C7188C"/>
    <w:rsid w:val="00C71B29"/>
    <w:rsid w:val="00C71B80"/>
    <w:rsid w:val="00C71D5C"/>
    <w:rsid w:val="00C7215B"/>
    <w:rsid w:val="00C72FF6"/>
    <w:rsid w:val="00C73505"/>
    <w:rsid w:val="00C73A93"/>
    <w:rsid w:val="00C73B3B"/>
    <w:rsid w:val="00C73C43"/>
    <w:rsid w:val="00C73EBB"/>
    <w:rsid w:val="00C74192"/>
    <w:rsid w:val="00C746D0"/>
    <w:rsid w:val="00C7496B"/>
    <w:rsid w:val="00C74B70"/>
    <w:rsid w:val="00C74D2F"/>
    <w:rsid w:val="00C758B2"/>
    <w:rsid w:val="00C76328"/>
    <w:rsid w:val="00C76397"/>
    <w:rsid w:val="00C77303"/>
    <w:rsid w:val="00C77712"/>
    <w:rsid w:val="00C80097"/>
    <w:rsid w:val="00C80251"/>
    <w:rsid w:val="00C80680"/>
    <w:rsid w:val="00C80B2A"/>
    <w:rsid w:val="00C80B6F"/>
    <w:rsid w:val="00C80F76"/>
    <w:rsid w:val="00C817BE"/>
    <w:rsid w:val="00C82426"/>
    <w:rsid w:val="00C824A8"/>
    <w:rsid w:val="00C827DA"/>
    <w:rsid w:val="00C82A61"/>
    <w:rsid w:val="00C82F86"/>
    <w:rsid w:val="00C83A80"/>
    <w:rsid w:val="00C84436"/>
    <w:rsid w:val="00C84439"/>
    <w:rsid w:val="00C84639"/>
    <w:rsid w:val="00C84B1F"/>
    <w:rsid w:val="00C84BA5"/>
    <w:rsid w:val="00C84ECE"/>
    <w:rsid w:val="00C8503C"/>
    <w:rsid w:val="00C85203"/>
    <w:rsid w:val="00C85346"/>
    <w:rsid w:val="00C85493"/>
    <w:rsid w:val="00C85ADF"/>
    <w:rsid w:val="00C85E26"/>
    <w:rsid w:val="00C861B8"/>
    <w:rsid w:val="00C8626D"/>
    <w:rsid w:val="00C86584"/>
    <w:rsid w:val="00C86D87"/>
    <w:rsid w:val="00C86F2F"/>
    <w:rsid w:val="00C8747A"/>
    <w:rsid w:val="00C8778B"/>
    <w:rsid w:val="00C902F6"/>
    <w:rsid w:val="00C9079E"/>
    <w:rsid w:val="00C90982"/>
    <w:rsid w:val="00C90A65"/>
    <w:rsid w:val="00C90CCF"/>
    <w:rsid w:val="00C9130F"/>
    <w:rsid w:val="00C919AF"/>
    <w:rsid w:val="00C91C22"/>
    <w:rsid w:val="00C91EBF"/>
    <w:rsid w:val="00C91F6C"/>
    <w:rsid w:val="00C923AF"/>
    <w:rsid w:val="00C925F3"/>
    <w:rsid w:val="00C92759"/>
    <w:rsid w:val="00C92885"/>
    <w:rsid w:val="00C92DD9"/>
    <w:rsid w:val="00C9324D"/>
    <w:rsid w:val="00C935DF"/>
    <w:rsid w:val="00C9397E"/>
    <w:rsid w:val="00C93E6D"/>
    <w:rsid w:val="00C93F0E"/>
    <w:rsid w:val="00C94117"/>
    <w:rsid w:val="00C9421F"/>
    <w:rsid w:val="00C94400"/>
    <w:rsid w:val="00C94682"/>
    <w:rsid w:val="00C94D56"/>
    <w:rsid w:val="00C9528C"/>
    <w:rsid w:val="00C952B0"/>
    <w:rsid w:val="00C95832"/>
    <w:rsid w:val="00C95F83"/>
    <w:rsid w:val="00C97239"/>
    <w:rsid w:val="00C97283"/>
    <w:rsid w:val="00CA0061"/>
    <w:rsid w:val="00CA0264"/>
    <w:rsid w:val="00CA02D0"/>
    <w:rsid w:val="00CA0310"/>
    <w:rsid w:val="00CA0CF4"/>
    <w:rsid w:val="00CA0FBC"/>
    <w:rsid w:val="00CA10A8"/>
    <w:rsid w:val="00CA1141"/>
    <w:rsid w:val="00CA1331"/>
    <w:rsid w:val="00CA1ABE"/>
    <w:rsid w:val="00CA2282"/>
    <w:rsid w:val="00CA2A02"/>
    <w:rsid w:val="00CA2FE5"/>
    <w:rsid w:val="00CA31D5"/>
    <w:rsid w:val="00CA37ED"/>
    <w:rsid w:val="00CA4B2C"/>
    <w:rsid w:val="00CA4EE5"/>
    <w:rsid w:val="00CA4F65"/>
    <w:rsid w:val="00CA5075"/>
    <w:rsid w:val="00CA5924"/>
    <w:rsid w:val="00CA59D2"/>
    <w:rsid w:val="00CA5D22"/>
    <w:rsid w:val="00CA5E8D"/>
    <w:rsid w:val="00CA6D87"/>
    <w:rsid w:val="00CA7491"/>
    <w:rsid w:val="00CA7694"/>
    <w:rsid w:val="00CA7EF3"/>
    <w:rsid w:val="00CB0552"/>
    <w:rsid w:val="00CB07B5"/>
    <w:rsid w:val="00CB12F9"/>
    <w:rsid w:val="00CB218A"/>
    <w:rsid w:val="00CB36D2"/>
    <w:rsid w:val="00CB39EE"/>
    <w:rsid w:val="00CB3F59"/>
    <w:rsid w:val="00CB48D0"/>
    <w:rsid w:val="00CB498E"/>
    <w:rsid w:val="00CB51B2"/>
    <w:rsid w:val="00CB538D"/>
    <w:rsid w:val="00CB539F"/>
    <w:rsid w:val="00CB5A9E"/>
    <w:rsid w:val="00CB5EB8"/>
    <w:rsid w:val="00CB5FB0"/>
    <w:rsid w:val="00CB6490"/>
    <w:rsid w:val="00CB6E57"/>
    <w:rsid w:val="00CB746C"/>
    <w:rsid w:val="00CB79A9"/>
    <w:rsid w:val="00CB7C93"/>
    <w:rsid w:val="00CB7CCA"/>
    <w:rsid w:val="00CC0452"/>
    <w:rsid w:val="00CC0FE4"/>
    <w:rsid w:val="00CC1BEC"/>
    <w:rsid w:val="00CC244C"/>
    <w:rsid w:val="00CC2526"/>
    <w:rsid w:val="00CC26A7"/>
    <w:rsid w:val="00CC2BDD"/>
    <w:rsid w:val="00CC2D1F"/>
    <w:rsid w:val="00CC2E73"/>
    <w:rsid w:val="00CC32AC"/>
    <w:rsid w:val="00CC3631"/>
    <w:rsid w:val="00CC3BF0"/>
    <w:rsid w:val="00CC3CD1"/>
    <w:rsid w:val="00CC44E8"/>
    <w:rsid w:val="00CC462B"/>
    <w:rsid w:val="00CC4869"/>
    <w:rsid w:val="00CC4A96"/>
    <w:rsid w:val="00CC5575"/>
    <w:rsid w:val="00CC59B6"/>
    <w:rsid w:val="00CC59F4"/>
    <w:rsid w:val="00CC611B"/>
    <w:rsid w:val="00CC6304"/>
    <w:rsid w:val="00CC6602"/>
    <w:rsid w:val="00CC66C0"/>
    <w:rsid w:val="00CC6EE7"/>
    <w:rsid w:val="00CC75F6"/>
    <w:rsid w:val="00CC76AE"/>
    <w:rsid w:val="00CC7C93"/>
    <w:rsid w:val="00CD0516"/>
    <w:rsid w:val="00CD0DA2"/>
    <w:rsid w:val="00CD14D8"/>
    <w:rsid w:val="00CD19C6"/>
    <w:rsid w:val="00CD1B3E"/>
    <w:rsid w:val="00CD22B8"/>
    <w:rsid w:val="00CD28BA"/>
    <w:rsid w:val="00CD2BC9"/>
    <w:rsid w:val="00CD2E04"/>
    <w:rsid w:val="00CD34D6"/>
    <w:rsid w:val="00CD35A3"/>
    <w:rsid w:val="00CD37A6"/>
    <w:rsid w:val="00CD3977"/>
    <w:rsid w:val="00CD397C"/>
    <w:rsid w:val="00CD3A00"/>
    <w:rsid w:val="00CD4146"/>
    <w:rsid w:val="00CD4425"/>
    <w:rsid w:val="00CD5742"/>
    <w:rsid w:val="00CD5B00"/>
    <w:rsid w:val="00CD5F9E"/>
    <w:rsid w:val="00CD60D4"/>
    <w:rsid w:val="00CD63A4"/>
    <w:rsid w:val="00CD68C8"/>
    <w:rsid w:val="00CD68FE"/>
    <w:rsid w:val="00CD6CD2"/>
    <w:rsid w:val="00CD6EE8"/>
    <w:rsid w:val="00CD72C5"/>
    <w:rsid w:val="00CD768D"/>
    <w:rsid w:val="00CD795C"/>
    <w:rsid w:val="00CD79B7"/>
    <w:rsid w:val="00CE0723"/>
    <w:rsid w:val="00CE0953"/>
    <w:rsid w:val="00CE0969"/>
    <w:rsid w:val="00CE1392"/>
    <w:rsid w:val="00CE14EA"/>
    <w:rsid w:val="00CE1F86"/>
    <w:rsid w:val="00CE21E4"/>
    <w:rsid w:val="00CE2839"/>
    <w:rsid w:val="00CE2E54"/>
    <w:rsid w:val="00CE3419"/>
    <w:rsid w:val="00CE3A2B"/>
    <w:rsid w:val="00CE3A54"/>
    <w:rsid w:val="00CE4106"/>
    <w:rsid w:val="00CE43A6"/>
    <w:rsid w:val="00CE46ED"/>
    <w:rsid w:val="00CE4BA6"/>
    <w:rsid w:val="00CE50C5"/>
    <w:rsid w:val="00CE53F2"/>
    <w:rsid w:val="00CE57D0"/>
    <w:rsid w:val="00CE62F5"/>
    <w:rsid w:val="00CE6542"/>
    <w:rsid w:val="00CE654C"/>
    <w:rsid w:val="00CE65DD"/>
    <w:rsid w:val="00CE6690"/>
    <w:rsid w:val="00CE66A7"/>
    <w:rsid w:val="00CE6F65"/>
    <w:rsid w:val="00CE753E"/>
    <w:rsid w:val="00CE79B6"/>
    <w:rsid w:val="00CF0257"/>
    <w:rsid w:val="00CF10BF"/>
    <w:rsid w:val="00CF11CE"/>
    <w:rsid w:val="00CF1242"/>
    <w:rsid w:val="00CF1360"/>
    <w:rsid w:val="00CF17CC"/>
    <w:rsid w:val="00CF1D44"/>
    <w:rsid w:val="00CF1E11"/>
    <w:rsid w:val="00CF2356"/>
    <w:rsid w:val="00CF23CC"/>
    <w:rsid w:val="00CF2852"/>
    <w:rsid w:val="00CF2BB0"/>
    <w:rsid w:val="00CF2CCA"/>
    <w:rsid w:val="00CF2EC1"/>
    <w:rsid w:val="00CF324E"/>
    <w:rsid w:val="00CF38DF"/>
    <w:rsid w:val="00CF38E8"/>
    <w:rsid w:val="00CF3CCA"/>
    <w:rsid w:val="00CF3D90"/>
    <w:rsid w:val="00CF3DE2"/>
    <w:rsid w:val="00CF45E5"/>
    <w:rsid w:val="00CF4D1C"/>
    <w:rsid w:val="00CF5146"/>
    <w:rsid w:val="00CF52A7"/>
    <w:rsid w:val="00CF54AF"/>
    <w:rsid w:val="00CF57FA"/>
    <w:rsid w:val="00CF5F93"/>
    <w:rsid w:val="00CF5FF9"/>
    <w:rsid w:val="00CF61EF"/>
    <w:rsid w:val="00CF64C6"/>
    <w:rsid w:val="00CF66DB"/>
    <w:rsid w:val="00CF6ABD"/>
    <w:rsid w:val="00CF6E22"/>
    <w:rsid w:val="00CF7041"/>
    <w:rsid w:val="00CF709E"/>
    <w:rsid w:val="00CF70D7"/>
    <w:rsid w:val="00CF7252"/>
    <w:rsid w:val="00CF726B"/>
    <w:rsid w:val="00CF7410"/>
    <w:rsid w:val="00CF7B4B"/>
    <w:rsid w:val="00CF7CA4"/>
    <w:rsid w:val="00D0045F"/>
    <w:rsid w:val="00D00594"/>
    <w:rsid w:val="00D00F37"/>
    <w:rsid w:val="00D015D5"/>
    <w:rsid w:val="00D018D2"/>
    <w:rsid w:val="00D01AFF"/>
    <w:rsid w:val="00D01BA5"/>
    <w:rsid w:val="00D01DEC"/>
    <w:rsid w:val="00D02374"/>
    <w:rsid w:val="00D02C32"/>
    <w:rsid w:val="00D0340A"/>
    <w:rsid w:val="00D03C8A"/>
    <w:rsid w:val="00D03CC5"/>
    <w:rsid w:val="00D0429F"/>
    <w:rsid w:val="00D0471F"/>
    <w:rsid w:val="00D050DE"/>
    <w:rsid w:val="00D051B8"/>
    <w:rsid w:val="00D05209"/>
    <w:rsid w:val="00D058E3"/>
    <w:rsid w:val="00D06131"/>
    <w:rsid w:val="00D062BD"/>
    <w:rsid w:val="00D07102"/>
    <w:rsid w:val="00D075FD"/>
    <w:rsid w:val="00D0790C"/>
    <w:rsid w:val="00D07955"/>
    <w:rsid w:val="00D07B34"/>
    <w:rsid w:val="00D07E99"/>
    <w:rsid w:val="00D10BD3"/>
    <w:rsid w:val="00D10D4F"/>
    <w:rsid w:val="00D1104A"/>
    <w:rsid w:val="00D111BA"/>
    <w:rsid w:val="00D11ADD"/>
    <w:rsid w:val="00D123F6"/>
    <w:rsid w:val="00D12D79"/>
    <w:rsid w:val="00D12DCC"/>
    <w:rsid w:val="00D13E43"/>
    <w:rsid w:val="00D14420"/>
    <w:rsid w:val="00D14545"/>
    <w:rsid w:val="00D145A4"/>
    <w:rsid w:val="00D1485B"/>
    <w:rsid w:val="00D148AA"/>
    <w:rsid w:val="00D148B9"/>
    <w:rsid w:val="00D14917"/>
    <w:rsid w:val="00D14B76"/>
    <w:rsid w:val="00D1570B"/>
    <w:rsid w:val="00D15833"/>
    <w:rsid w:val="00D15956"/>
    <w:rsid w:val="00D15AA7"/>
    <w:rsid w:val="00D15B49"/>
    <w:rsid w:val="00D15DB4"/>
    <w:rsid w:val="00D17421"/>
    <w:rsid w:val="00D20246"/>
    <w:rsid w:val="00D2034E"/>
    <w:rsid w:val="00D204E0"/>
    <w:rsid w:val="00D20516"/>
    <w:rsid w:val="00D207DB"/>
    <w:rsid w:val="00D20A4A"/>
    <w:rsid w:val="00D21D4C"/>
    <w:rsid w:val="00D22202"/>
    <w:rsid w:val="00D22319"/>
    <w:rsid w:val="00D226C3"/>
    <w:rsid w:val="00D23B09"/>
    <w:rsid w:val="00D23E26"/>
    <w:rsid w:val="00D23F4B"/>
    <w:rsid w:val="00D243C3"/>
    <w:rsid w:val="00D247AC"/>
    <w:rsid w:val="00D24DB9"/>
    <w:rsid w:val="00D256CC"/>
    <w:rsid w:val="00D25871"/>
    <w:rsid w:val="00D26762"/>
    <w:rsid w:val="00D26D68"/>
    <w:rsid w:val="00D278A1"/>
    <w:rsid w:val="00D27CA7"/>
    <w:rsid w:val="00D30951"/>
    <w:rsid w:val="00D309E8"/>
    <w:rsid w:val="00D312AD"/>
    <w:rsid w:val="00D31327"/>
    <w:rsid w:val="00D318FE"/>
    <w:rsid w:val="00D319A6"/>
    <w:rsid w:val="00D31AD7"/>
    <w:rsid w:val="00D31B95"/>
    <w:rsid w:val="00D31E2E"/>
    <w:rsid w:val="00D31F3B"/>
    <w:rsid w:val="00D31F49"/>
    <w:rsid w:val="00D32140"/>
    <w:rsid w:val="00D32576"/>
    <w:rsid w:val="00D32D30"/>
    <w:rsid w:val="00D33402"/>
    <w:rsid w:val="00D335AD"/>
    <w:rsid w:val="00D341E4"/>
    <w:rsid w:val="00D345E2"/>
    <w:rsid w:val="00D3466F"/>
    <w:rsid w:val="00D34697"/>
    <w:rsid w:val="00D34844"/>
    <w:rsid w:val="00D34964"/>
    <w:rsid w:val="00D34AFD"/>
    <w:rsid w:val="00D34BB0"/>
    <w:rsid w:val="00D34C29"/>
    <w:rsid w:val="00D363DE"/>
    <w:rsid w:val="00D36792"/>
    <w:rsid w:val="00D36AB5"/>
    <w:rsid w:val="00D36B1C"/>
    <w:rsid w:val="00D36F36"/>
    <w:rsid w:val="00D3730C"/>
    <w:rsid w:val="00D37FBB"/>
    <w:rsid w:val="00D401E0"/>
    <w:rsid w:val="00D40B20"/>
    <w:rsid w:val="00D41E81"/>
    <w:rsid w:val="00D41EF7"/>
    <w:rsid w:val="00D4223E"/>
    <w:rsid w:val="00D4253F"/>
    <w:rsid w:val="00D427E7"/>
    <w:rsid w:val="00D428D4"/>
    <w:rsid w:val="00D43428"/>
    <w:rsid w:val="00D43598"/>
    <w:rsid w:val="00D4387D"/>
    <w:rsid w:val="00D43A68"/>
    <w:rsid w:val="00D44087"/>
    <w:rsid w:val="00D44214"/>
    <w:rsid w:val="00D4489D"/>
    <w:rsid w:val="00D448F6"/>
    <w:rsid w:val="00D4589F"/>
    <w:rsid w:val="00D4632B"/>
    <w:rsid w:val="00D4645E"/>
    <w:rsid w:val="00D46619"/>
    <w:rsid w:val="00D467CA"/>
    <w:rsid w:val="00D46929"/>
    <w:rsid w:val="00D46B67"/>
    <w:rsid w:val="00D46C67"/>
    <w:rsid w:val="00D47658"/>
    <w:rsid w:val="00D477AD"/>
    <w:rsid w:val="00D508E3"/>
    <w:rsid w:val="00D50BEC"/>
    <w:rsid w:val="00D50D52"/>
    <w:rsid w:val="00D50FA5"/>
    <w:rsid w:val="00D51106"/>
    <w:rsid w:val="00D51642"/>
    <w:rsid w:val="00D5190D"/>
    <w:rsid w:val="00D51954"/>
    <w:rsid w:val="00D51D4A"/>
    <w:rsid w:val="00D528ED"/>
    <w:rsid w:val="00D52B65"/>
    <w:rsid w:val="00D52C33"/>
    <w:rsid w:val="00D53753"/>
    <w:rsid w:val="00D53BFC"/>
    <w:rsid w:val="00D5481B"/>
    <w:rsid w:val="00D54885"/>
    <w:rsid w:val="00D54C55"/>
    <w:rsid w:val="00D55029"/>
    <w:rsid w:val="00D550B4"/>
    <w:rsid w:val="00D551CA"/>
    <w:rsid w:val="00D55CE6"/>
    <w:rsid w:val="00D55DB8"/>
    <w:rsid w:val="00D5619D"/>
    <w:rsid w:val="00D5630B"/>
    <w:rsid w:val="00D56553"/>
    <w:rsid w:val="00D56D5F"/>
    <w:rsid w:val="00D56F6E"/>
    <w:rsid w:val="00D56FA6"/>
    <w:rsid w:val="00D57C10"/>
    <w:rsid w:val="00D57C3A"/>
    <w:rsid w:val="00D57E1A"/>
    <w:rsid w:val="00D6047C"/>
    <w:rsid w:val="00D604C9"/>
    <w:rsid w:val="00D608AD"/>
    <w:rsid w:val="00D60953"/>
    <w:rsid w:val="00D60B01"/>
    <w:rsid w:val="00D60F60"/>
    <w:rsid w:val="00D611AF"/>
    <w:rsid w:val="00D611D2"/>
    <w:rsid w:val="00D611D7"/>
    <w:rsid w:val="00D61227"/>
    <w:rsid w:val="00D6156B"/>
    <w:rsid w:val="00D61822"/>
    <w:rsid w:val="00D6197C"/>
    <w:rsid w:val="00D61A22"/>
    <w:rsid w:val="00D61AD1"/>
    <w:rsid w:val="00D61F94"/>
    <w:rsid w:val="00D620E4"/>
    <w:rsid w:val="00D62A45"/>
    <w:rsid w:val="00D62FE5"/>
    <w:rsid w:val="00D63046"/>
    <w:rsid w:val="00D64217"/>
    <w:rsid w:val="00D64262"/>
    <w:rsid w:val="00D6473B"/>
    <w:rsid w:val="00D64A8A"/>
    <w:rsid w:val="00D64AB4"/>
    <w:rsid w:val="00D64F69"/>
    <w:rsid w:val="00D64F7B"/>
    <w:rsid w:val="00D64F85"/>
    <w:rsid w:val="00D652DD"/>
    <w:rsid w:val="00D65756"/>
    <w:rsid w:val="00D65D4B"/>
    <w:rsid w:val="00D65E22"/>
    <w:rsid w:val="00D66284"/>
    <w:rsid w:val="00D66675"/>
    <w:rsid w:val="00D668ED"/>
    <w:rsid w:val="00D66BD4"/>
    <w:rsid w:val="00D66C67"/>
    <w:rsid w:val="00D66D34"/>
    <w:rsid w:val="00D66D43"/>
    <w:rsid w:val="00D66DC3"/>
    <w:rsid w:val="00D66EE3"/>
    <w:rsid w:val="00D67573"/>
    <w:rsid w:val="00D675C0"/>
    <w:rsid w:val="00D67B03"/>
    <w:rsid w:val="00D67FDE"/>
    <w:rsid w:val="00D70005"/>
    <w:rsid w:val="00D70137"/>
    <w:rsid w:val="00D70568"/>
    <w:rsid w:val="00D70FE3"/>
    <w:rsid w:val="00D7103F"/>
    <w:rsid w:val="00D7122E"/>
    <w:rsid w:val="00D71567"/>
    <w:rsid w:val="00D7188E"/>
    <w:rsid w:val="00D71B4C"/>
    <w:rsid w:val="00D71EDC"/>
    <w:rsid w:val="00D71F73"/>
    <w:rsid w:val="00D72DBD"/>
    <w:rsid w:val="00D73075"/>
    <w:rsid w:val="00D739CB"/>
    <w:rsid w:val="00D74289"/>
    <w:rsid w:val="00D74698"/>
    <w:rsid w:val="00D7495D"/>
    <w:rsid w:val="00D7553D"/>
    <w:rsid w:val="00D75EAC"/>
    <w:rsid w:val="00D76178"/>
    <w:rsid w:val="00D762A9"/>
    <w:rsid w:val="00D763BD"/>
    <w:rsid w:val="00D76C5E"/>
    <w:rsid w:val="00D76D68"/>
    <w:rsid w:val="00D77003"/>
    <w:rsid w:val="00D77222"/>
    <w:rsid w:val="00D77A50"/>
    <w:rsid w:val="00D80543"/>
    <w:rsid w:val="00D808E8"/>
    <w:rsid w:val="00D80A62"/>
    <w:rsid w:val="00D80D8D"/>
    <w:rsid w:val="00D80E65"/>
    <w:rsid w:val="00D811CE"/>
    <w:rsid w:val="00D8166E"/>
    <w:rsid w:val="00D819A7"/>
    <w:rsid w:val="00D81AB1"/>
    <w:rsid w:val="00D81B3C"/>
    <w:rsid w:val="00D81D5F"/>
    <w:rsid w:val="00D81D92"/>
    <w:rsid w:val="00D823A2"/>
    <w:rsid w:val="00D82664"/>
    <w:rsid w:val="00D826F9"/>
    <w:rsid w:val="00D82CDE"/>
    <w:rsid w:val="00D8361E"/>
    <w:rsid w:val="00D83FCF"/>
    <w:rsid w:val="00D8416E"/>
    <w:rsid w:val="00D8448E"/>
    <w:rsid w:val="00D84AF0"/>
    <w:rsid w:val="00D84D92"/>
    <w:rsid w:val="00D84F43"/>
    <w:rsid w:val="00D8508F"/>
    <w:rsid w:val="00D8542A"/>
    <w:rsid w:val="00D85AE8"/>
    <w:rsid w:val="00D85EDE"/>
    <w:rsid w:val="00D860D4"/>
    <w:rsid w:val="00D8619A"/>
    <w:rsid w:val="00D86EEA"/>
    <w:rsid w:val="00D8703F"/>
    <w:rsid w:val="00D87446"/>
    <w:rsid w:val="00D8765A"/>
    <w:rsid w:val="00D87AFF"/>
    <w:rsid w:val="00D87D24"/>
    <w:rsid w:val="00D90485"/>
    <w:rsid w:val="00D90781"/>
    <w:rsid w:val="00D90BE0"/>
    <w:rsid w:val="00D90C63"/>
    <w:rsid w:val="00D9112A"/>
    <w:rsid w:val="00D911FF"/>
    <w:rsid w:val="00D91306"/>
    <w:rsid w:val="00D91C17"/>
    <w:rsid w:val="00D91E7E"/>
    <w:rsid w:val="00D91F8D"/>
    <w:rsid w:val="00D920AE"/>
    <w:rsid w:val="00D926F7"/>
    <w:rsid w:val="00D927D1"/>
    <w:rsid w:val="00D92887"/>
    <w:rsid w:val="00D9288A"/>
    <w:rsid w:val="00D934E3"/>
    <w:rsid w:val="00D941DE"/>
    <w:rsid w:val="00D943F0"/>
    <w:rsid w:val="00D944D3"/>
    <w:rsid w:val="00D95BCE"/>
    <w:rsid w:val="00D961A1"/>
    <w:rsid w:val="00D961D3"/>
    <w:rsid w:val="00D961D8"/>
    <w:rsid w:val="00D963CF"/>
    <w:rsid w:val="00D96407"/>
    <w:rsid w:val="00D96933"/>
    <w:rsid w:val="00D96E81"/>
    <w:rsid w:val="00D96F0D"/>
    <w:rsid w:val="00D9772B"/>
    <w:rsid w:val="00DA01B3"/>
    <w:rsid w:val="00DA05E8"/>
    <w:rsid w:val="00DA0A50"/>
    <w:rsid w:val="00DA0D1B"/>
    <w:rsid w:val="00DA126F"/>
    <w:rsid w:val="00DA13A7"/>
    <w:rsid w:val="00DA1DF6"/>
    <w:rsid w:val="00DA1F1C"/>
    <w:rsid w:val="00DA24D1"/>
    <w:rsid w:val="00DA25F9"/>
    <w:rsid w:val="00DA29A2"/>
    <w:rsid w:val="00DA2A6D"/>
    <w:rsid w:val="00DA2B77"/>
    <w:rsid w:val="00DA366E"/>
    <w:rsid w:val="00DA3895"/>
    <w:rsid w:val="00DA3D25"/>
    <w:rsid w:val="00DA3DF7"/>
    <w:rsid w:val="00DA3E76"/>
    <w:rsid w:val="00DA412B"/>
    <w:rsid w:val="00DA4F04"/>
    <w:rsid w:val="00DA5056"/>
    <w:rsid w:val="00DA50F5"/>
    <w:rsid w:val="00DA51E6"/>
    <w:rsid w:val="00DA5205"/>
    <w:rsid w:val="00DA5A80"/>
    <w:rsid w:val="00DA633D"/>
    <w:rsid w:val="00DA67B6"/>
    <w:rsid w:val="00DA7368"/>
    <w:rsid w:val="00DA79DE"/>
    <w:rsid w:val="00DA7C90"/>
    <w:rsid w:val="00DA7D28"/>
    <w:rsid w:val="00DA7F3A"/>
    <w:rsid w:val="00DA7F62"/>
    <w:rsid w:val="00DB0046"/>
    <w:rsid w:val="00DB0123"/>
    <w:rsid w:val="00DB0286"/>
    <w:rsid w:val="00DB02ED"/>
    <w:rsid w:val="00DB035B"/>
    <w:rsid w:val="00DB0DF7"/>
    <w:rsid w:val="00DB18FC"/>
    <w:rsid w:val="00DB1DFB"/>
    <w:rsid w:val="00DB22E2"/>
    <w:rsid w:val="00DB256F"/>
    <w:rsid w:val="00DB260C"/>
    <w:rsid w:val="00DB2A3F"/>
    <w:rsid w:val="00DB2B9E"/>
    <w:rsid w:val="00DB2C33"/>
    <w:rsid w:val="00DB3394"/>
    <w:rsid w:val="00DB34D7"/>
    <w:rsid w:val="00DB37FD"/>
    <w:rsid w:val="00DB3831"/>
    <w:rsid w:val="00DB42B5"/>
    <w:rsid w:val="00DB4644"/>
    <w:rsid w:val="00DB4853"/>
    <w:rsid w:val="00DB48D6"/>
    <w:rsid w:val="00DB4D2C"/>
    <w:rsid w:val="00DB4E5A"/>
    <w:rsid w:val="00DB54C4"/>
    <w:rsid w:val="00DB556E"/>
    <w:rsid w:val="00DB5AD8"/>
    <w:rsid w:val="00DB61F6"/>
    <w:rsid w:val="00DB6707"/>
    <w:rsid w:val="00DB6A40"/>
    <w:rsid w:val="00DB7107"/>
    <w:rsid w:val="00DB72D8"/>
    <w:rsid w:val="00DB7635"/>
    <w:rsid w:val="00DB7BF9"/>
    <w:rsid w:val="00DB7C4C"/>
    <w:rsid w:val="00DB7EA1"/>
    <w:rsid w:val="00DC0745"/>
    <w:rsid w:val="00DC0B63"/>
    <w:rsid w:val="00DC0CB9"/>
    <w:rsid w:val="00DC0E6F"/>
    <w:rsid w:val="00DC127F"/>
    <w:rsid w:val="00DC1485"/>
    <w:rsid w:val="00DC178E"/>
    <w:rsid w:val="00DC17A4"/>
    <w:rsid w:val="00DC18AC"/>
    <w:rsid w:val="00DC1D40"/>
    <w:rsid w:val="00DC2476"/>
    <w:rsid w:val="00DC28C9"/>
    <w:rsid w:val="00DC2BA6"/>
    <w:rsid w:val="00DC2D4B"/>
    <w:rsid w:val="00DC326B"/>
    <w:rsid w:val="00DC343C"/>
    <w:rsid w:val="00DC3457"/>
    <w:rsid w:val="00DC3519"/>
    <w:rsid w:val="00DC3537"/>
    <w:rsid w:val="00DC3569"/>
    <w:rsid w:val="00DC3B9E"/>
    <w:rsid w:val="00DC3BE4"/>
    <w:rsid w:val="00DC4BA1"/>
    <w:rsid w:val="00DC51A3"/>
    <w:rsid w:val="00DC5267"/>
    <w:rsid w:val="00DC546A"/>
    <w:rsid w:val="00DC595F"/>
    <w:rsid w:val="00DC5D72"/>
    <w:rsid w:val="00DC6CFF"/>
    <w:rsid w:val="00DC6FEE"/>
    <w:rsid w:val="00DC744D"/>
    <w:rsid w:val="00DC7457"/>
    <w:rsid w:val="00DC74C2"/>
    <w:rsid w:val="00DC79AE"/>
    <w:rsid w:val="00DC7D84"/>
    <w:rsid w:val="00DD081D"/>
    <w:rsid w:val="00DD15B8"/>
    <w:rsid w:val="00DD1645"/>
    <w:rsid w:val="00DD1859"/>
    <w:rsid w:val="00DD19C1"/>
    <w:rsid w:val="00DD1AD5"/>
    <w:rsid w:val="00DD1B37"/>
    <w:rsid w:val="00DD1BA9"/>
    <w:rsid w:val="00DD28AE"/>
    <w:rsid w:val="00DD2E21"/>
    <w:rsid w:val="00DD2FA7"/>
    <w:rsid w:val="00DD3165"/>
    <w:rsid w:val="00DD3369"/>
    <w:rsid w:val="00DD3C61"/>
    <w:rsid w:val="00DD3CD4"/>
    <w:rsid w:val="00DD4067"/>
    <w:rsid w:val="00DD46BF"/>
    <w:rsid w:val="00DD4CD0"/>
    <w:rsid w:val="00DD4EB6"/>
    <w:rsid w:val="00DD5841"/>
    <w:rsid w:val="00DD5A92"/>
    <w:rsid w:val="00DD63E5"/>
    <w:rsid w:val="00DD6409"/>
    <w:rsid w:val="00DD6B26"/>
    <w:rsid w:val="00DD7653"/>
    <w:rsid w:val="00DD7776"/>
    <w:rsid w:val="00DE03D9"/>
    <w:rsid w:val="00DE1514"/>
    <w:rsid w:val="00DE16AB"/>
    <w:rsid w:val="00DE19B9"/>
    <w:rsid w:val="00DE1A37"/>
    <w:rsid w:val="00DE1B58"/>
    <w:rsid w:val="00DE209F"/>
    <w:rsid w:val="00DE296D"/>
    <w:rsid w:val="00DE2FE8"/>
    <w:rsid w:val="00DE3169"/>
    <w:rsid w:val="00DE39EC"/>
    <w:rsid w:val="00DE3C5D"/>
    <w:rsid w:val="00DE420C"/>
    <w:rsid w:val="00DE4AE4"/>
    <w:rsid w:val="00DE4D0A"/>
    <w:rsid w:val="00DE4D7E"/>
    <w:rsid w:val="00DE56A9"/>
    <w:rsid w:val="00DE5732"/>
    <w:rsid w:val="00DE5D46"/>
    <w:rsid w:val="00DE5EE7"/>
    <w:rsid w:val="00DE6A1A"/>
    <w:rsid w:val="00DE6D84"/>
    <w:rsid w:val="00DE6FC4"/>
    <w:rsid w:val="00DE6FFB"/>
    <w:rsid w:val="00DE766B"/>
    <w:rsid w:val="00DE779D"/>
    <w:rsid w:val="00DE7A1D"/>
    <w:rsid w:val="00DF0455"/>
    <w:rsid w:val="00DF11DE"/>
    <w:rsid w:val="00DF16CA"/>
    <w:rsid w:val="00DF1B93"/>
    <w:rsid w:val="00DF1EC7"/>
    <w:rsid w:val="00DF2139"/>
    <w:rsid w:val="00DF22DC"/>
    <w:rsid w:val="00DF26A2"/>
    <w:rsid w:val="00DF2A05"/>
    <w:rsid w:val="00DF2A7E"/>
    <w:rsid w:val="00DF2FEC"/>
    <w:rsid w:val="00DF3501"/>
    <w:rsid w:val="00DF3D6F"/>
    <w:rsid w:val="00DF424C"/>
    <w:rsid w:val="00DF4951"/>
    <w:rsid w:val="00DF5378"/>
    <w:rsid w:val="00DF587A"/>
    <w:rsid w:val="00DF5CA9"/>
    <w:rsid w:val="00DF5EAB"/>
    <w:rsid w:val="00DF62D7"/>
    <w:rsid w:val="00DF6684"/>
    <w:rsid w:val="00DF6989"/>
    <w:rsid w:val="00DF6D3E"/>
    <w:rsid w:val="00DF71BD"/>
    <w:rsid w:val="00DF76C2"/>
    <w:rsid w:val="00DF780B"/>
    <w:rsid w:val="00DF7A78"/>
    <w:rsid w:val="00DF7D79"/>
    <w:rsid w:val="00E002E7"/>
    <w:rsid w:val="00E006B5"/>
    <w:rsid w:val="00E007D1"/>
    <w:rsid w:val="00E00BD4"/>
    <w:rsid w:val="00E0142A"/>
    <w:rsid w:val="00E0158E"/>
    <w:rsid w:val="00E01672"/>
    <w:rsid w:val="00E01755"/>
    <w:rsid w:val="00E01930"/>
    <w:rsid w:val="00E01998"/>
    <w:rsid w:val="00E0207B"/>
    <w:rsid w:val="00E024F1"/>
    <w:rsid w:val="00E02A2F"/>
    <w:rsid w:val="00E02CCB"/>
    <w:rsid w:val="00E02D89"/>
    <w:rsid w:val="00E034CF"/>
    <w:rsid w:val="00E036BB"/>
    <w:rsid w:val="00E03903"/>
    <w:rsid w:val="00E03BFE"/>
    <w:rsid w:val="00E03DAD"/>
    <w:rsid w:val="00E04151"/>
    <w:rsid w:val="00E043E4"/>
    <w:rsid w:val="00E0476E"/>
    <w:rsid w:val="00E04815"/>
    <w:rsid w:val="00E0491A"/>
    <w:rsid w:val="00E04B6E"/>
    <w:rsid w:val="00E0519B"/>
    <w:rsid w:val="00E0613F"/>
    <w:rsid w:val="00E0674D"/>
    <w:rsid w:val="00E06815"/>
    <w:rsid w:val="00E0690B"/>
    <w:rsid w:val="00E070CD"/>
    <w:rsid w:val="00E073BA"/>
    <w:rsid w:val="00E07648"/>
    <w:rsid w:val="00E0786A"/>
    <w:rsid w:val="00E0790C"/>
    <w:rsid w:val="00E0793C"/>
    <w:rsid w:val="00E07EE4"/>
    <w:rsid w:val="00E1077E"/>
    <w:rsid w:val="00E10D81"/>
    <w:rsid w:val="00E10EE6"/>
    <w:rsid w:val="00E11331"/>
    <w:rsid w:val="00E1142A"/>
    <w:rsid w:val="00E115AC"/>
    <w:rsid w:val="00E11AB6"/>
    <w:rsid w:val="00E11D0C"/>
    <w:rsid w:val="00E11F2E"/>
    <w:rsid w:val="00E12201"/>
    <w:rsid w:val="00E12606"/>
    <w:rsid w:val="00E12BEC"/>
    <w:rsid w:val="00E13262"/>
    <w:rsid w:val="00E139CB"/>
    <w:rsid w:val="00E13BC3"/>
    <w:rsid w:val="00E13E10"/>
    <w:rsid w:val="00E13EAC"/>
    <w:rsid w:val="00E13F25"/>
    <w:rsid w:val="00E14858"/>
    <w:rsid w:val="00E14B27"/>
    <w:rsid w:val="00E14CCD"/>
    <w:rsid w:val="00E14D82"/>
    <w:rsid w:val="00E14F00"/>
    <w:rsid w:val="00E15088"/>
    <w:rsid w:val="00E152C5"/>
    <w:rsid w:val="00E153CF"/>
    <w:rsid w:val="00E15558"/>
    <w:rsid w:val="00E15A2F"/>
    <w:rsid w:val="00E16589"/>
    <w:rsid w:val="00E166CE"/>
    <w:rsid w:val="00E16995"/>
    <w:rsid w:val="00E16F72"/>
    <w:rsid w:val="00E17662"/>
    <w:rsid w:val="00E17E53"/>
    <w:rsid w:val="00E17E79"/>
    <w:rsid w:val="00E17EEA"/>
    <w:rsid w:val="00E2009B"/>
    <w:rsid w:val="00E200A4"/>
    <w:rsid w:val="00E20888"/>
    <w:rsid w:val="00E20BDE"/>
    <w:rsid w:val="00E20F42"/>
    <w:rsid w:val="00E20F9B"/>
    <w:rsid w:val="00E210F5"/>
    <w:rsid w:val="00E215C8"/>
    <w:rsid w:val="00E21CBA"/>
    <w:rsid w:val="00E21F39"/>
    <w:rsid w:val="00E221A9"/>
    <w:rsid w:val="00E22998"/>
    <w:rsid w:val="00E22AB6"/>
    <w:rsid w:val="00E22D29"/>
    <w:rsid w:val="00E2328F"/>
    <w:rsid w:val="00E233FD"/>
    <w:rsid w:val="00E23744"/>
    <w:rsid w:val="00E23780"/>
    <w:rsid w:val="00E23FC0"/>
    <w:rsid w:val="00E24006"/>
    <w:rsid w:val="00E2411C"/>
    <w:rsid w:val="00E2453A"/>
    <w:rsid w:val="00E24F16"/>
    <w:rsid w:val="00E24F7F"/>
    <w:rsid w:val="00E250AB"/>
    <w:rsid w:val="00E2530C"/>
    <w:rsid w:val="00E25446"/>
    <w:rsid w:val="00E25FE4"/>
    <w:rsid w:val="00E263F5"/>
    <w:rsid w:val="00E26747"/>
    <w:rsid w:val="00E26AFF"/>
    <w:rsid w:val="00E26E83"/>
    <w:rsid w:val="00E2712E"/>
    <w:rsid w:val="00E27200"/>
    <w:rsid w:val="00E27500"/>
    <w:rsid w:val="00E2756C"/>
    <w:rsid w:val="00E27A05"/>
    <w:rsid w:val="00E3010D"/>
    <w:rsid w:val="00E30288"/>
    <w:rsid w:val="00E3035F"/>
    <w:rsid w:val="00E30BF8"/>
    <w:rsid w:val="00E30EB1"/>
    <w:rsid w:val="00E31073"/>
    <w:rsid w:val="00E314C1"/>
    <w:rsid w:val="00E317DF"/>
    <w:rsid w:val="00E31F2E"/>
    <w:rsid w:val="00E3238C"/>
    <w:rsid w:val="00E3258D"/>
    <w:rsid w:val="00E325A5"/>
    <w:rsid w:val="00E32B14"/>
    <w:rsid w:val="00E330AB"/>
    <w:rsid w:val="00E33426"/>
    <w:rsid w:val="00E33B45"/>
    <w:rsid w:val="00E343FF"/>
    <w:rsid w:val="00E34A48"/>
    <w:rsid w:val="00E35049"/>
    <w:rsid w:val="00E352AD"/>
    <w:rsid w:val="00E3538B"/>
    <w:rsid w:val="00E353E5"/>
    <w:rsid w:val="00E357EE"/>
    <w:rsid w:val="00E358BC"/>
    <w:rsid w:val="00E3771E"/>
    <w:rsid w:val="00E37841"/>
    <w:rsid w:val="00E37B31"/>
    <w:rsid w:val="00E403A8"/>
    <w:rsid w:val="00E403F0"/>
    <w:rsid w:val="00E40BD0"/>
    <w:rsid w:val="00E414FE"/>
    <w:rsid w:val="00E416E1"/>
    <w:rsid w:val="00E41B9F"/>
    <w:rsid w:val="00E41ED6"/>
    <w:rsid w:val="00E42738"/>
    <w:rsid w:val="00E42942"/>
    <w:rsid w:val="00E42B30"/>
    <w:rsid w:val="00E42D0A"/>
    <w:rsid w:val="00E43382"/>
    <w:rsid w:val="00E44939"/>
    <w:rsid w:val="00E44A91"/>
    <w:rsid w:val="00E44C78"/>
    <w:rsid w:val="00E44E07"/>
    <w:rsid w:val="00E44E2E"/>
    <w:rsid w:val="00E453B4"/>
    <w:rsid w:val="00E4588E"/>
    <w:rsid w:val="00E4611D"/>
    <w:rsid w:val="00E46F67"/>
    <w:rsid w:val="00E4784D"/>
    <w:rsid w:val="00E4793B"/>
    <w:rsid w:val="00E47A58"/>
    <w:rsid w:val="00E504B1"/>
    <w:rsid w:val="00E507D8"/>
    <w:rsid w:val="00E507D9"/>
    <w:rsid w:val="00E50994"/>
    <w:rsid w:val="00E50AAC"/>
    <w:rsid w:val="00E513DC"/>
    <w:rsid w:val="00E51845"/>
    <w:rsid w:val="00E51982"/>
    <w:rsid w:val="00E51ACB"/>
    <w:rsid w:val="00E51AEC"/>
    <w:rsid w:val="00E52033"/>
    <w:rsid w:val="00E520CE"/>
    <w:rsid w:val="00E5234E"/>
    <w:rsid w:val="00E52798"/>
    <w:rsid w:val="00E52A1D"/>
    <w:rsid w:val="00E52AA9"/>
    <w:rsid w:val="00E53347"/>
    <w:rsid w:val="00E53D13"/>
    <w:rsid w:val="00E5464B"/>
    <w:rsid w:val="00E550D2"/>
    <w:rsid w:val="00E558DC"/>
    <w:rsid w:val="00E559B3"/>
    <w:rsid w:val="00E55C8A"/>
    <w:rsid w:val="00E562C3"/>
    <w:rsid w:val="00E566CC"/>
    <w:rsid w:val="00E56779"/>
    <w:rsid w:val="00E567FA"/>
    <w:rsid w:val="00E56966"/>
    <w:rsid w:val="00E56C87"/>
    <w:rsid w:val="00E56DE7"/>
    <w:rsid w:val="00E56EAE"/>
    <w:rsid w:val="00E57159"/>
    <w:rsid w:val="00E572C4"/>
    <w:rsid w:val="00E5792F"/>
    <w:rsid w:val="00E57C95"/>
    <w:rsid w:val="00E6008C"/>
    <w:rsid w:val="00E6019E"/>
    <w:rsid w:val="00E602E2"/>
    <w:rsid w:val="00E606A7"/>
    <w:rsid w:val="00E61032"/>
    <w:rsid w:val="00E6127B"/>
    <w:rsid w:val="00E61571"/>
    <w:rsid w:val="00E61AFF"/>
    <w:rsid w:val="00E61B1E"/>
    <w:rsid w:val="00E61FDF"/>
    <w:rsid w:val="00E6223A"/>
    <w:rsid w:val="00E62338"/>
    <w:rsid w:val="00E63484"/>
    <w:rsid w:val="00E63553"/>
    <w:rsid w:val="00E635F4"/>
    <w:rsid w:val="00E63F9A"/>
    <w:rsid w:val="00E6412C"/>
    <w:rsid w:val="00E64242"/>
    <w:rsid w:val="00E64280"/>
    <w:rsid w:val="00E64389"/>
    <w:rsid w:val="00E645B0"/>
    <w:rsid w:val="00E64612"/>
    <w:rsid w:val="00E64821"/>
    <w:rsid w:val="00E65419"/>
    <w:rsid w:val="00E6569A"/>
    <w:rsid w:val="00E65CF2"/>
    <w:rsid w:val="00E66260"/>
    <w:rsid w:val="00E66455"/>
    <w:rsid w:val="00E669A8"/>
    <w:rsid w:val="00E66A98"/>
    <w:rsid w:val="00E66BC3"/>
    <w:rsid w:val="00E66F56"/>
    <w:rsid w:val="00E670E3"/>
    <w:rsid w:val="00E6716E"/>
    <w:rsid w:val="00E672EC"/>
    <w:rsid w:val="00E678EC"/>
    <w:rsid w:val="00E678F7"/>
    <w:rsid w:val="00E67AA2"/>
    <w:rsid w:val="00E67C35"/>
    <w:rsid w:val="00E70034"/>
    <w:rsid w:val="00E70299"/>
    <w:rsid w:val="00E702AC"/>
    <w:rsid w:val="00E704DB"/>
    <w:rsid w:val="00E70791"/>
    <w:rsid w:val="00E71063"/>
    <w:rsid w:val="00E712C5"/>
    <w:rsid w:val="00E71E55"/>
    <w:rsid w:val="00E72197"/>
    <w:rsid w:val="00E724A4"/>
    <w:rsid w:val="00E725C3"/>
    <w:rsid w:val="00E72637"/>
    <w:rsid w:val="00E72C2E"/>
    <w:rsid w:val="00E72C8F"/>
    <w:rsid w:val="00E7308D"/>
    <w:rsid w:val="00E736D1"/>
    <w:rsid w:val="00E73A95"/>
    <w:rsid w:val="00E73B1F"/>
    <w:rsid w:val="00E73C7F"/>
    <w:rsid w:val="00E7400B"/>
    <w:rsid w:val="00E74109"/>
    <w:rsid w:val="00E744AB"/>
    <w:rsid w:val="00E7453A"/>
    <w:rsid w:val="00E74E63"/>
    <w:rsid w:val="00E753D2"/>
    <w:rsid w:val="00E75580"/>
    <w:rsid w:val="00E75800"/>
    <w:rsid w:val="00E75B79"/>
    <w:rsid w:val="00E75E55"/>
    <w:rsid w:val="00E75EA5"/>
    <w:rsid w:val="00E75F95"/>
    <w:rsid w:val="00E761F8"/>
    <w:rsid w:val="00E767E5"/>
    <w:rsid w:val="00E76C09"/>
    <w:rsid w:val="00E779B7"/>
    <w:rsid w:val="00E77A64"/>
    <w:rsid w:val="00E77A79"/>
    <w:rsid w:val="00E77BB2"/>
    <w:rsid w:val="00E77CB2"/>
    <w:rsid w:val="00E80382"/>
    <w:rsid w:val="00E80BE1"/>
    <w:rsid w:val="00E80F28"/>
    <w:rsid w:val="00E80F80"/>
    <w:rsid w:val="00E811A5"/>
    <w:rsid w:val="00E81895"/>
    <w:rsid w:val="00E81BF5"/>
    <w:rsid w:val="00E823D4"/>
    <w:rsid w:val="00E82656"/>
    <w:rsid w:val="00E82660"/>
    <w:rsid w:val="00E826E6"/>
    <w:rsid w:val="00E82ACB"/>
    <w:rsid w:val="00E82ADC"/>
    <w:rsid w:val="00E82AF2"/>
    <w:rsid w:val="00E8318F"/>
    <w:rsid w:val="00E836CD"/>
    <w:rsid w:val="00E83E16"/>
    <w:rsid w:val="00E846A3"/>
    <w:rsid w:val="00E846F8"/>
    <w:rsid w:val="00E8506D"/>
    <w:rsid w:val="00E854F4"/>
    <w:rsid w:val="00E85BBF"/>
    <w:rsid w:val="00E85F71"/>
    <w:rsid w:val="00E868D4"/>
    <w:rsid w:val="00E86F97"/>
    <w:rsid w:val="00E87208"/>
    <w:rsid w:val="00E8761E"/>
    <w:rsid w:val="00E87655"/>
    <w:rsid w:val="00E877AE"/>
    <w:rsid w:val="00E87DD3"/>
    <w:rsid w:val="00E900C4"/>
    <w:rsid w:val="00E90260"/>
    <w:rsid w:val="00E910DE"/>
    <w:rsid w:val="00E913B5"/>
    <w:rsid w:val="00E91975"/>
    <w:rsid w:val="00E91BC4"/>
    <w:rsid w:val="00E92063"/>
    <w:rsid w:val="00E92360"/>
    <w:rsid w:val="00E924EA"/>
    <w:rsid w:val="00E92762"/>
    <w:rsid w:val="00E92B9C"/>
    <w:rsid w:val="00E92E38"/>
    <w:rsid w:val="00E938B7"/>
    <w:rsid w:val="00E94C6A"/>
    <w:rsid w:val="00E94FBE"/>
    <w:rsid w:val="00E952C7"/>
    <w:rsid w:val="00E9536D"/>
    <w:rsid w:val="00E96044"/>
    <w:rsid w:val="00E9686B"/>
    <w:rsid w:val="00E96979"/>
    <w:rsid w:val="00E96A34"/>
    <w:rsid w:val="00E97769"/>
    <w:rsid w:val="00E97A27"/>
    <w:rsid w:val="00E97C63"/>
    <w:rsid w:val="00E97D58"/>
    <w:rsid w:val="00EA031E"/>
    <w:rsid w:val="00EA0479"/>
    <w:rsid w:val="00EA086F"/>
    <w:rsid w:val="00EA0899"/>
    <w:rsid w:val="00EA0B59"/>
    <w:rsid w:val="00EA0E43"/>
    <w:rsid w:val="00EA0F56"/>
    <w:rsid w:val="00EA0FD5"/>
    <w:rsid w:val="00EA13BA"/>
    <w:rsid w:val="00EA1662"/>
    <w:rsid w:val="00EA1BC3"/>
    <w:rsid w:val="00EA1F56"/>
    <w:rsid w:val="00EA2618"/>
    <w:rsid w:val="00EA265B"/>
    <w:rsid w:val="00EA2BD7"/>
    <w:rsid w:val="00EA3134"/>
    <w:rsid w:val="00EA33EB"/>
    <w:rsid w:val="00EA34D1"/>
    <w:rsid w:val="00EA35C7"/>
    <w:rsid w:val="00EA37AC"/>
    <w:rsid w:val="00EA3F5B"/>
    <w:rsid w:val="00EA446F"/>
    <w:rsid w:val="00EA48C8"/>
    <w:rsid w:val="00EA4ED8"/>
    <w:rsid w:val="00EA5453"/>
    <w:rsid w:val="00EA545C"/>
    <w:rsid w:val="00EA555A"/>
    <w:rsid w:val="00EA566E"/>
    <w:rsid w:val="00EA5801"/>
    <w:rsid w:val="00EA5D79"/>
    <w:rsid w:val="00EA641C"/>
    <w:rsid w:val="00EA6436"/>
    <w:rsid w:val="00EA6878"/>
    <w:rsid w:val="00EA6959"/>
    <w:rsid w:val="00EA6C6E"/>
    <w:rsid w:val="00EA6D15"/>
    <w:rsid w:val="00EA776C"/>
    <w:rsid w:val="00EA7968"/>
    <w:rsid w:val="00EA7B3F"/>
    <w:rsid w:val="00EA7EA2"/>
    <w:rsid w:val="00EA7F4F"/>
    <w:rsid w:val="00EB00B3"/>
    <w:rsid w:val="00EB03E4"/>
    <w:rsid w:val="00EB0990"/>
    <w:rsid w:val="00EB09C9"/>
    <w:rsid w:val="00EB16B2"/>
    <w:rsid w:val="00EB2532"/>
    <w:rsid w:val="00EB2536"/>
    <w:rsid w:val="00EB2ED8"/>
    <w:rsid w:val="00EB2F6E"/>
    <w:rsid w:val="00EB341D"/>
    <w:rsid w:val="00EB3740"/>
    <w:rsid w:val="00EB39B4"/>
    <w:rsid w:val="00EB3DA7"/>
    <w:rsid w:val="00EB3EE7"/>
    <w:rsid w:val="00EB3FAF"/>
    <w:rsid w:val="00EB401F"/>
    <w:rsid w:val="00EB420D"/>
    <w:rsid w:val="00EB44B1"/>
    <w:rsid w:val="00EB46D7"/>
    <w:rsid w:val="00EB50F0"/>
    <w:rsid w:val="00EB556F"/>
    <w:rsid w:val="00EB564D"/>
    <w:rsid w:val="00EB58A5"/>
    <w:rsid w:val="00EB621C"/>
    <w:rsid w:val="00EB62B8"/>
    <w:rsid w:val="00EB63C9"/>
    <w:rsid w:val="00EB6455"/>
    <w:rsid w:val="00EB6781"/>
    <w:rsid w:val="00EB6D9F"/>
    <w:rsid w:val="00EB74D7"/>
    <w:rsid w:val="00EB7501"/>
    <w:rsid w:val="00EB78D8"/>
    <w:rsid w:val="00EB79E1"/>
    <w:rsid w:val="00EB7AAE"/>
    <w:rsid w:val="00EB7FCE"/>
    <w:rsid w:val="00EC0050"/>
    <w:rsid w:val="00EC08ED"/>
    <w:rsid w:val="00EC0EC0"/>
    <w:rsid w:val="00EC1A92"/>
    <w:rsid w:val="00EC1BCA"/>
    <w:rsid w:val="00EC1DE0"/>
    <w:rsid w:val="00EC20F5"/>
    <w:rsid w:val="00EC22AA"/>
    <w:rsid w:val="00EC22FE"/>
    <w:rsid w:val="00EC2B98"/>
    <w:rsid w:val="00EC2D64"/>
    <w:rsid w:val="00EC377F"/>
    <w:rsid w:val="00EC3BE2"/>
    <w:rsid w:val="00EC42EE"/>
    <w:rsid w:val="00EC483D"/>
    <w:rsid w:val="00EC48D1"/>
    <w:rsid w:val="00EC4980"/>
    <w:rsid w:val="00EC4F70"/>
    <w:rsid w:val="00EC56BD"/>
    <w:rsid w:val="00EC59A0"/>
    <w:rsid w:val="00EC6165"/>
    <w:rsid w:val="00EC61C9"/>
    <w:rsid w:val="00EC6518"/>
    <w:rsid w:val="00EC691E"/>
    <w:rsid w:val="00EC696C"/>
    <w:rsid w:val="00EC6A25"/>
    <w:rsid w:val="00EC6A92"/>
    <w:rsid w:val="00EC6C38"/>
    <w:rsid w:val="00EC707B"/>
    <w:rsid w:val="00EC73DF"/>
    <w:rsid w:val="00EC77A8"/>
    <w:rsid w:val="00ED039D"/>
    <w:rsid w:val="00ED0838"/>
    <w:rsid w:val="00ED0939"/>
    <w:rsid w:val="00ED0B92"/>
    <w:rsid w:val="00ED0C60"/>
    <w:rsid w:val="00ED0F6D"/>
    <w:rsid w:val="00ED1613"/>
    <w:rsid w:val="00ED204B"/>
    <w:rsid w:val="00ED21FE"/>
    <w:rsid w:val="00ED23A2"/>
    <w:rsid w:val="00ED279E"/>
    <w:rsid w:val="00ED2A9C"/>
    <w:rsid w:val="00ED36A7"/>
    <w:rsid w:val="00ED3982"/>
    <w:rsid w:val="00ED40E2"/>
    <w:rsid w:val="00ED44B9"/>
    <w:rsid w:val="00ED496F"/>
    <w:rsid w:val="00ED4CC7"/>
    <w:rsid w:val="00ED4D6D"/>
    <w:rsid w:val="00ED5D6B"/>
    <w:rsid w:val="00ED5E5D"/>
    <w:rsid w:val="00ED6F01"/>
    <w:rsid w:val="00ED6F84"/>
    <w:rsid w:val="00ED71F1"/>
    <w:rsid w:val="00ED7CE7"/>
    <w:rsid w:val="00EE02A3"/>
    <w:rsid w:val="00EE0986"/>
    <w:rsid w:val="00EE0B19"/>
    <w:rsid w:val="00EE0F99"/>
    <w:rsid w:val="00EE1031"/>
    <w:rsid w:val="00EE10E0"/>
    <w:rsid w:val="00EE1921"/>
    <w:rsid w:val="00EE1A79"/>
    <w:rsid w:val="00EE2080"/>
    <w:rsid w:val="00EE2345"/>
    <w:rsid w:val="00EE271C"/>
    <w:rsid w:val="00EE28D7"/>
    <w:rsid w:val="00EE2967"/>
    <w:rsid w:val="00EE2A86"/>
    <w:rsid w:val="00EE2B46"/>
    <w:rsid w:val="00EE2DF1"/>
    <w:rsid w:val="00EE38C8"/>
    <w:rsid w:val="00EE3931"/>
    <w:rsid w:val="00EE3B9B"/>
    <w:rsid w:val="00EE3F9E"/>
    <w:rsid w:val="00EE43F3"/>
    <w:rsid w:val="00EE48F5"/>
    <w:rsid w:val="00EE4AC9"/>
    <w:rsid w:val="00EE4CEF"/>
    <w:rsid w:val="00EE52DF"/>
    <w:rsid w:val="00EE5C92"/>
    <w:rsid w:val="00EE5E93"/>
    <w:rsid w:val="00EE74F3"/>
    <w:rsid w:val="00EE754C"/>
    <w:rsid w:val="00EF04A8"/>
    <w:rsid w:val="00EF0908"/>
    <w:rsid w:val="00EF0D50"/>
    <w:rsid w:val="00EF1150"/>
    <w:rsid w:val="00EF1519"/>
    <w:rsid w:val="00EF1700"/>
    <w:rsid w:val="00EF1944"/>
    <w:rsid w:val="00EF2886"/>
    <w:rsid w:val="00EF2AD4"/>
    <w:rsid w:val="00EF30F5"/>
    <w:rsid w:val="00EF387F"/>
    <w:rsid w:val="00EF3CDA"/>
    <w:rsid w:val="00EF44D2"/>
    <w:rsid w:val="00EF46CF"/>
    <w:rsid w:val="00EF5115"/>
    <w:rsid w:val="00EF516A"/>
    <w:rsid w:val="00EF520C"/>
    <w:rsid w:val="00EF529C"/>
    <w:rsid w:val="00EF5607"/>
    <w:rsid w:val="00EF56A1"/>
    <w:rsid w:val="00EF5A18"/>
    <w:rsid w:val="00EF5CE1"/>
    <w:rsid w:val="00EF6349"/>
    <w:rsid w:val="00EF70F1"/>
    <w:rsid w:val="00EF74BC"/>
    <w:rsid w:val="00EF75FE"/>
    <w:rsid w:val="00EF77B2"/>
    <w:rsid w:val="00EF79D0"/>
    <w:rsid w:val="00EF7ADD"/>
    <w:rsid w:val="00EF7C1C"/>
    <w:rsid w:val="00EF7D66"/>
    <w:rsid w:val="00EF7DD6"/>
    <w:rsid w:val="00F00847"/>
    <w:rsid w:val="00F00B41"/>
    <w:rsid w:val="00F00BC5"/>
    <w:rsid w:val="00F00EB9"/>
    <w:rsid w:val="00F01177"/>
    <w:rsid w:val="00F015E4"/>
    <w:rsid w:val="00F01768"/>
    <w:rsid w:val="00F01A45"/>
    <w:rsid w:val="00F01B5B"/>
    <w:rsid w:val="00F02359"/>
    <w:rsid w:val="00F0268C"/>
    <w:rsid w:val="00F0284F"/>
    <w:rsid w:val="00F0285B"/>
    <w:rsid w:val="00F02A14"/>
    <w:rsid w:val="00F02C42"/>
    <w:rsid w:val="00F03212"/>
    <w:rsid w:val="00F0322E"/>
    <w:rsid w:val="00F03487"/>
    <w:rsid w:val="00F03B21"/>
    <w:rsid w:val="00F03C34"/>
    <w:rsid w:val="00F03D5A"/>
    <w:rsid w:val="00F04DD5"/>
    <w:rsid w:val="00F04E67"/>
    <w:rsid w:val="00F04F2F"/>
    <w:rsid w:val="00F04FB5"/>
    <w:rsid w:val="00F050D9"/>
    <w:rsid w:val="00F058A4"/>
    <w:rsid w:val="00F058D6"/>
    <w:rsid w:val="00F065FD"/>
    <w:rsid w:val="00F06B59"/>
    <w:rsid w:val="00F06CC2"/>
    <w:rsid w:val="00F07271"/>
    <w:rsid w:val="00F078D4"/>
    <w:rsid w:val="00F07B76"/>
    <w:rsid w:val="00F07DEF"/>
    <w:rsid w:val="00F100D0"/>
    <w:rsid w:val="00F10882"/>
    <w:rsid w:val="00F10A52"/>
    <w:rsid w:val="00F11587"/>
    <w:rsid w:val="00F11909"/>
    <w:rsid w:val="00F11A28"/>
    <w:rsid w:val="00F11FAB"/>
    <w:rsid w:val="00F12291"/>
    <w:rsid w:val="00F138AD"/>
    <w:rsid w:val="00F13EB6"/>
    <w:rsid w:val="00F14641"/>
    <w:rsid w:val="00F148A4"/>
    <w:rsid w:val="00F153ED"/>
    <w:rsid w:val="00F1560E"/>
    <w:rsid w:val="00F1579F"/>
    <w:rsid w:val="00F158F8"/>
    <w:rsid w:val="00F15F18"/>
    <w:rsid w:val="00F164B3"/>
    <w:rsid w:val="00F16D67"/>
    <w:rsid w:val="00F16F6B"/>
    <w:rsid w:val="00F16F9D"/>
    <w:rsid w:val="00F17580"/>
    <w:rsid w:val="00F17618"/>
    <w:rsid w:val="00F17897"/>
    <w:rsid w:val="00F17A04"/>
    <w:rsid w:val="00F17BDF"/>
    <w:rsid w:val="00F20273"/>
    <w:rsid w:val="00F20B35"/>
    <w:rsid w:val="00F20E7B"/>
    <w:rsid w:val="00F21081"/>
    <w:rsid w:val="00F21388"/>
    <w:rsid w:val="00F2140B"/>
    <w:rsid w:val="00F21581"/>
    <w:rsid w:val="00F2197B"/>
    <w:rsid w:val="00F219EB"/>
    <w:rsid w:val="00F225A3"/>
    <w:rsid w:val="00F225ED"/>
    <w:rsid w:val="00F225F6"/>
    <w:rsid w:val="00F22898"/>
    <w:rsid w:val="00F22E50"/>
    <w:rsid w:val="00F22F28"/>
    <w:rsid w:val="00F236A1"/>
    <w:rsid w:val="00F236A2"/>
    <w:rsid w:val="00F23B0C"/>
    <w:rsid w:val="00F24137"/>
    <w:rsid w:val="00F24215"/>
    <w:rsid w:val="00F2424F"/>
    <w:rsid w:val="00F24437"/>
    <w:rsid w:val="00F2485E"/>
    <w:rsid w:val="00F24A31"/>
    <w:rsid w:val="00F2544C"/>
    <w:rsid w:val="00F259FD"/>
    <w:rsid w:val="00F263BC"/>
    <w:rsid w:val="00F26875"/>
    <w:rsid w:val="00F2693F"/>
    <w:rsid w:val="00F26E1A"/>
    <w:rsid w:val="00F27308"/>
    <w:rsid w:val="00F273B9"/>
    <w:rsid w:val="00F27603"/>
    <w:rsid w:val="00F2787A"/>
    <w:rsid w:val="00F27A71"/>
    <w:rsid w:val="00F30060"/>
    <w:rsid w:val="00F3006C"/>
    <w:rsid w:val="00F3083A"/>
    <w:rsid w:val="00F3099A"/>
    <w:rsid w:val="00F30DFD"/>
    <w:rsid w:val="00F30F51"/>
    <w:rsid w:val="00F31104"/>
    <w:rsid w:val="00F3113C"/>
    <w:rsid w:val="00F31E50"/>
    <w:rsid w:val="00F32EE3"/>
    <w:rsid w:val="00F32F17"/>
    <w:rsid w:val="00F3371E"/>
    <w:rsid w:val="00F3382E"/>
    <w:rsid w:val="00F338BB"/>
    <w:rsid w:val="00F33A2E"/>
    <w:rsid w:val="00F33DF9"/>
    <w:rsid w:val="00F33EE6"/>
    <w:rsid w:val="00F3410F"/>
    <w:rsid w:val="00F34514"/>
    <w:rsid w:val="00F345B0"/>
    <w:rsid w:val="00F34863"/>
    <w:rsid w:val="00F34A2A"/>
    <w:rsid w:val="00F34A58"/>
    <w:rsid w:val="00F34BBC"/>
    <w:rsid w:val="00F34F20"/>
    <w:rsid w:val="00F3587C"/>
    <w:rsid w:val="00F35956"/>
    <w:rsid w:val="00F359A9"/>
    <w:rsid w:val="00F35AFA"/>
    <w:rsid w:val="00F35C6D"/>
    <w:rsid w:val="00F35F71"/>
    <w:rsid w:val="00F36202"/>
    <w:rsid w:val="00F36AEB"/>
    <w:rsid w:val="00F36E38"/>
    <w:rsid w:val="00F37230"/>
    <w:rsid w:val="00F37A66"/>
    <w:rsid w:val="00F37FC1"/>
    <w:rsid w:val="00F405F8"/>
    <w:rsid w:val="00F40600"/>
    <w:rsid w:val="00F4077C"/>
    <w:rsid w:val="00F40DB6"/>
    <w:rsid w:val="00F41194"/>
    <w:rsid w:val="00F4141C"/>
    <w:rsid w:val="00F417AA"/>
    <w:rsid w:val="00F41AB8"/>
    <w:rsid w:val="00F42185"/>
    <w:rsid w:val="00F42408"/>
    <w:rsid w:val="00F42B6B"/>
    <w:rsid w:val="00F42DC5"/>
    <w:rsid w:val="00F42E10"/>
    <w:rsid w:val="00F4362D"/>
    <w:rsid w:val="00F43E46"/>
    <w:rsid w:val="00F440CF"/>
    <w:rsid w:val="00F4416B"/>
    <w:rsid w:val="00F44636"/>
    <w:rsid w:val="00F44659"/>
    <w:rsid w:val="00F44CC6"/>
    <w:rsid w:val="00F453D5"/>
    <w:rsid w:val="00F458C7"/>
    <w:rsid w:val="00F45A2D"/>
    <w:rsid w:val="00F45C5C"/>
    <w:rsid w:val="00F46BC6"/>
    <w:rsid w:val="00F46ECF"/>
    <w:rsid w:val="00F474A5"/>
    <w:rsid w:val="00F47C1D"/>
    <w:rsid w:val="00F50837"/>
    <w:rsid w:val="00F50C8A"/>
    <w:rsid w:val="00F510E7"/>
    <w:rsid w:val="00F52218"/>
    <w:rsid w:val="00F52436"/>
    <w:rsid w:val="00F52527"/>
    <w:rsid w:val="00F5270F"/>
    <w:rsid w:val="00F5296B"/>
    <w:rsid w:val="00F52DFB"/>
    <w:rsid w:val="00F52F9C"/>
    <w:rsid w:val="00F535E9"/>
    <w:rsid w:val="00F53978"/>
    <w:rsid w:val="00F53D8A"/>
    <w:rsid w:val="00F53F26"/>
    <w:rsid w:val="00F542A9"/>
    <w:rsid w:val="00F544D2"/>
    <w:rsid w:val="00F545BA"/>
    <w:rsid w:val="00F5468C"/>
    <w:rsid w:val="00F54DEE"/>
    <w:rsid w:val="00F54E29"/>
    <w:rsid w:val="00F5532E"/>
    <w:rsid w:val="00F556E7"/>
    <w:rsid w:val="00F55BC5"/>
    <w:rsid w:val="00F55D61"/>
    <w:rsid w:val="00F55ECA"/>
    <w:rsid w:val="00F56296"/>
    <w:rsid w:val="00F56375"/>
    <w:rsid w:val="00F56A15"/>
    <w:rsid w:val="00F56B8E"/>
    <w:rsid w:val="00F56CA0"/>
    <w:rsid w:val="00F56F10"/>
    <w:rsid w:val="00F56F90"/>
    <w:rsid w:val="00F57220"/>
    <w:rsid w:val="00F57A21"/>
    <w:rsid w:val="00F57DAF"/>
    <w:rsid w:val="00F6035F"/>
    <w:rsid w:val="00F608C2"/>
    <w:rsid w:val="00F60E5F"/>
    <w:rsid w:val="00F611CD"/>
    <w:rsid w:val="00F6221B"/>
    <w:rsid w:val="00F62522"/>
    <w:rsid w:val="00F6275C"/>
    <w:rsid w:val="00F629D9"/>
    <w:rsid w:val="00F62BA2"/>
    <w:rsid w:val="00F6363F"/>
    <w:rsid w:val="00F6380B"/>
    <w:rsid w:val="00F63822"/>
    <w:rsid w:val="00F638D4"/>
    <w:rsid w:val="00F63D70"/>
    <w:rsid w:val="00F63F77"/>
    <w:rsid w:val="00F65041"/>
    <w:rsid w:val="00F651B3"/>
    <w:rsid w:val="00F655AB"/>
    <w:rsid w:val="00F65653"/>
    <w:rsid w:val="00F65C60"/>
    <w:rsid w:val="00F65F24"/>
    <w:rsid w:val="00F65FA9"/>
    <w:rsid w:val="00F65FD3"/>
    <w:rsid w:val="00F661AC"/>
    <w:rsid w:val="00F66655"/>
    <w:rsid w:val="00F667F1"/>
    <w:rsid w:val="00F668D7"/>
    <w:rsid w:val="00F66941"/>
    <w:rsid w:val="00F669B4"/>
    <w:rsid w:val="00F66B11"/>
    <w:rsid w:val="00F66C07"/>
    <w:rsid w:val="00F674B9"/>
    <w:rsid w:val="00F67DF4"/>
    <w:rsid w:val="00F70148"/>
    <w:rsid w:val="00F7055F"/>
    <w:rsid w:val="00F70921"/>
    <w:rsid w:val="00F70A0E"/>
    <w:rsid w:val="00F70E18"/>
    <w:rsid w:val="00F70EA0"/>
    <w:rsid w:val="00F712AD"/>
    <w:rsid w:val="00F713CF"/>
    <w:rsid w:val="00F718DB"/>
    <w:rsid w:val="00F71E1E"/>
    <w:rsid w:val="00F71EA8"/>
    <w:rsid w:val="00F71FB6"/>
    <w:rsid w:val="00F72238"/>
    <w:rsid w:val="00F723BF"/>
    <w:rsid w:val="00F7278A"/>
    <w:rsid w:val="00F728CB"/>
    <w:rsid w:val="00F729D4"/>
    <w:rsid w:val="00F72A2B"/>
    <w:rsid w:val="00F731AA"/>
    <w:rsid w:val="00F731B5"/>
    <w:rsid w:val="00F73B01"/>
    <w:rsid w:val="00F73F95"/>
    <w:rsid w:val="00F73FAF"/>
    <w:rsid w:val="00F7416C"/>
    <w:rsid w:val="00F74A82"/>
    <w:rsid w:val="00F74BA4"/>
    <w:rsid w:val="00F75067"/>
    <w:rsid w:val="00F7509B"/>
    <w:rsid w:val="00F751C2"/>
    <w:rsid w:val="00F75211"/>
    <w:rsid w:val="00F7545E"/>
    <w:rsid w:val="00F75551"/>
    <w:rsid w:val="00F7561A"/>
    <w:rsid w:val="00F75876"/>
    <w:rsid w:val="00F7610B"/>
    <w:rsid w:val="00F76322"/>
    <w:rsid w:val="00F76669"/>
    <w:rsid w:val="00F76E70"/>
    <w:rsid w:val="00F76F24"/>
    <w:rsid w:val="00F76F31"/>
    <w:rsid w:val="00F77290"/>
    <w:rsid w:val="00F77537"/>
    <w:rsid w:val="00F800D4"/>
    <w:rsid w:val="00F8047F"/>
    <w:rsid w:val="00F807D9"/>
    <w:rsid w:val="00F80A54"/>
    <w:rsid w:val="00F80AF1"/>
    <w:rsid w:val="00F80BB7"/>
    <w:rsid w:val="00F80C82"/>
    <w:rsid w:val="00F80D47"/>
    <w:rsid w:val="00F80E6D"/>
    <w:rsid w:val="00F81071"/>
    <w:rsid w:val="00F812D0"/>
    <w:rsid w:val="00F8139C"/>
    <w:rsid w:val="00F819F8"/>
    <w:rsid w:val="00F81A12"/>
    <w:rsid w:val="00F81C97"/>
    <w:rsid w:val="00F81DDF"/>
    <w:rsid w:val="00F82943"/>
    <w:rsid w:val="00F8352F"/>
    <w:rsid w:val="00F8374C"/>
    <w:rsid w:val="00F83B3E"/>
    <w:rsid w:val="00F83F22"/>
    <w:rsid w:val="00F840BB"/>
    <w:rsid w:val="00F842AB"/>
    <w:rsid w:val="00F84CBD"/>
    <w:rsid w:val="00F85A0C"/>
    <w:rsid w:val="00F861E4"/>
    <w:rsid w:val="00F86220"/>
    <w:rsid w:val="00F86722"/>
    <w:rsid w:val="00F8688F"/>
    <w:rsid w:val="00F86DDB"/>
    <w:rsid w:val="00F86F45"/>
    <w:rsid w:val="00F8714D"/>
    <w:rsid w:val="00F87354"/>
    <w:rsid w:val="00F87436"/>
    <w:rsid w:val="00F875F2"/>
    <w:rsid w:val="00F877EF"/>
    <w:rsid w:val="00F877F6"/>
    <w:rsid w:val="00F90090"/>
    <w:rsid w:val="00F90792"/>
    <w:rsid w:val="00F908A9"/>
    <w:rsid w:val="00F90A63"/>
    <w:rsid w:val="00F90E2D"/>
    <w:rsid w:val="00F9152F"/>
    <w:rsid w:val="00F915E9"/>
    <w:rsid w:val="00F91671"/>
    <w:rsid w:val="00F923CA"/>
    <w:rsid w:val="00F928E5"/>
    <w:rsid w:val="00F92E27"/>
    <w:rsid w:val="00F933B1"/>
    <w:rsid w:val="00F933C2"/>
    <w:rsid w:val="00F939D7"/>
    <w:rsid w:val="00F93A1F"/>
    <w:rsid w:val="00F93D74"/>
    <w:rsid w:val="00F94078"/>
    <w:rsid w:val="00F94586"/>
    <w:rsid w:val="00F94950"/>
    <w:rsid w:val="00F94F2F"/>
    <w:rsid w:val="00F95229"/>
    <w:rsid w:val="00F9531A"/>
    <w:rsid w:val="00F95946"/>
    <w:rsid w:val="00F9638E"/>
    <w:rsid w:val="00F966C5"/>
    <w:rsid w:val="00F96788"/>
    <w:rsid w:val="00F973BC"/>
    <w:rsid w:val="00F9746F"/>
    <w:rsid w:val="00F97677"/>
    <w:rsid w:val="00F977DA"/>
    <w:rsid w:val="00F97928"/>
    <w:rsid w:val="00F97C14"/>
    <w:rsid w:val="00FA0735"/>
    <w:rsid w:val="00FA09E8"/>
    <w:rsid w:val="00FA0A08"/>
    <w:rsid w:val="00FA0C47"/>
    <w:rsid w:val="00FA0F2D"/>
    <w:rsid w:val="00FA17E4"/>
    <w:rsid w:val="00FA1AA5"/>
    <w:rsid w:val="00FA1B04"/>
    <w:rsid w:val="00FA22EB"/>
    <w:rsid w:val="00FA24FF"/>
    <w:rsid w:val="00FA25F7"/>
    <w:rsid w:val="00FA2A79"/>
    <w:rsid w:val="00FA2EBC"/>
    <w:rsid w:val="00FA301D"/>
    <w:rsid w:val="00FA3483"/>
    <w:rsid w:val="00FA34D4"/>
    <w:rsid w:val="00FA3597"/>
    <w:rsid w:val="00FA41E3"/>
    <w:rsid w:val="00FA4254"/>
    <w:rsid w:val="00FA4C05"/>
    <w:rsid w:val="00FA4C74"/>
    <w:rsid w:val="00FA4EF7"/>
    <w:rsid w:val="00FA5315"/>
    <w:rsid w:val="00FA5A34"/>
    <w:rsid w:val="00FA5BA6"/>
    <w:rsid w:val="00FA5BE8"/>
    <w:rsid w:val="00FA6026"/>
    <w:rsid w:val="00FA61F6"/>
    <w:rsid w:val="00FA6423"/>
    <w:rsid w:val="00FA66A4"/>
    <w:rsid w:val="00FA675E"/>
    <w:rsid w:val="00FA6976"/>
    <w:rsid w:val="00FA6C56"/>
    <w:rsid w:val="00FA7128"/>
    <w:rsid w:val="00FA7268"/>
    <w:rsid w:val="00FA7389"/>
    <w:rsid w:val="00FA7929"/>
    <w:rsid w:val="00FA7AA8"/>
    <w:rsid w:val="00FA7AEC"/>
    <w:rsid w:val="00FA7D9C"/>
    <w:rsid w:val="00FA7E57"/>
    <w:rsid w:val="00FA7EEB"/>
    <w:rsid w:val="00FB05D9"/>
    <w:rsid w:val="00FB069A"/>
    <w:rsid w:val="00FB0804"/>
    <w:rsid w:val="00FB09D6"/>
    <w:rsid w:val="00FB0C9C"/>
    <w:rsid w:val="00FB1736"/>
    <w:rsid w:val="00FB1DB9"/>
    <w:rsid w:val="00FB2271"/>
    <w:rsid w:val="00FB282A"/>
    <w:rsid w:val="00FB2BB0"/>
    <w:rsid w:val="00FB2BD6"/>
    <w:rsid w:val="00FB2CCC"/>
    <w:rsid w:val="00FB2E05"/>
    <w:rsid w:val="00FB2E26"/>
    <w:rsid w:val="00FB33E8"/>
    <w:rsid w:val="00FB346C"/>
    <w:rsid w:val="00FB35CD"/>
    <w:rsid w:val="00FB39F6"/>
    <w:rsid w:val="00FB3AA2"/>
    <w:rsid w:val="00FB3E3E"/>
    <w:rsid w:val="00FB3EB5"/>
    <w:rsid w:val="00FB4253"/>
    <w:rsid w:val="00FB4C3F"/>
    <w:rsid w:val="00FB5486"/>
    <w:rsid w:val="00FB5489"/>
    <w:rsid w:val="00FB563E"/>
    <w:rsid w:val="00FB632F"/>
    <w:rsid w:val="00FB68A7"/>
    <w:rsid w:val="00FB6C61"/>
    <w:rsid w:val="00FB71FB"/>
    <w:rsid w:val="00FB749A"/>
    <w:rsid w:val="00FB7BB8"/>
    <w:rsid w:val="00FB7FD4"/>
    <w:rsid w:val="00FC01F7"/>
    <w:rsid w:val="00FC0584"/>
    <w:rsid w:val="00FC0605"/>
    <w:rsid w:val="00FC0740"/>
    <w:rsid w:val="00FC1028"/>
    <w:rsid w:val="00FC1466"/>
    <w:rsid w:val="00FC1A43"/>
    <w:rsid w:val="00FC1A82"/>
    <w:rsid w:val="00FC1D1F"/>
    <w:rsid w:val="00FC206E"/>
    <w:rsid w:val="00FC2222"/>
    <w:rsid w:val="00FC29D4"/>
    <w:rsid w:val="00FC2A96"/>
    <w:rsid w:val="00FC2D03"/>
    <w:rsid w:val="00FC2EA8"/>
    <w:rsid w:val="00FC2F94"/>
    <w:rsid w:val="00FC3031"/>
    <w:rsid w:val="00FC3EA0"/>
    <w:rsid w:val="00FC3FF1"/>
    <w:rsid w:val="00FC41F6"/>
    <w:rsid w:val="00FC4688"/>
    <w:rsid w:val="00FC4E7D"/>
    <w:rsid w:val="00FC5031"/>
    <w:rsid w:val="00FC5058"/>
    <w:rsid w:val="00FC5691"/>
    <w:rsid w:val="00FC56A7"/>
    <w:rsid w:val="00FC58F2"/>
    <w:rsid w:val="00FC5B22"/>
    <w:rsid w:val="00FC5BF8"/>
    <w:rsid w:val="00FC61AD"/>
    <w:rsid w:val="00FC61DE"/>
    <w:rsid w:val="00FC6823"/>
    <w:rsid w:val="00FC707F"/>
    <w:rsid w:val="00FC7686"/>
    <w:rsid w:val="00FC76DA"/>
    <w:rsid w:val="00FC79F7"/>
    <w:rsid w:val="00FC7C09"/>
    <w:rsid w:val="00FD056F"/>
    <w:rsid w:val="00FD05D9"/>
    <w:rsid w:val="00FD07D3"/>
    <w:rsid w:val="00FD0AA4"/>
    <w:rsid w:val="00FD0BBB"/>
    <w:rsid w:val="00FD0CEE"/>
    <w:rsid w:val="00FD121D"/>
    <w:rsid w:val="00FD1506"/>
    <w:rsid w:val="00FD163F"/>
    <w:rsid w:val="00FD180C"/>
    <w:rsid w:val="00FD1DAE"/>
    <w:rsid w:val="00FD1FEC"/>
    <w:rsid w:val="00FD2278"/>
    <w:rsid w:val="00FD24D0"/>
    <w:rsid w:val="00FD27E6"/>
    <w:rsid w:val="00FD2983"/>
    <w:rsid w:val="00FD2F00"/>
    <w:rsid w:val="00FD2FF2"/>
    <w:rsid w:val="00FD3179"/>
    <w:rsid w:val="00FD35DF"/>
    <w:rsid w:val="00FD42FD"/>
    <w:rsid w:val="00FD49BE"/>
    <w:rsid w:val="00FD51B7"/>
    <w:rsid w:val="00FD5AF6"/>
    <w:rsid w:val="00FD65BA"/>
    <w:rsid w:val="00FD68CD"/>
    <w:rsid w:val="00FD6BC0"/>
    <w:rsid w:val="00FD6D59"/>
    <w:rsid w:val="00FD7002"/>
    <w:rsid w:val="00FD7710"/>
    <w:rsid w:val="00FD7C3D"/>
    <w:rsid w:val="00FE0C4F"/>
    <w:rsid w:val="00FE1481"/>
    <w:rsid w:val="00FE197B"/>
    <w:rsid w:val="00FE1A47"/>
    <w:rsid w:val="00FE1B24"/>
    <w:rsid w:val="00FE2E9A"/>
    <w:rsid w:val="00FE3171"/>
    <w:rsid w:val="00FE34E4"/>
    <w:rsid w:val="00FE3BAD"/>
    <w:rsid w:val="00FE3E59"/>
    <w:rsid w:val="00FE4081"/>
    <w:rsid w:val="00FE42CB"/>
    <w:rsid w:val="00FE4372"/>
    <w:rsid w:val="00FE4BB6"/>
    <w:rsid w:val="00FE4D0B"/>
    <w:rsid w:val="00FE4DBA"/>
    <w:rsid w:val="00FE4F9B"/>
    <w:rsid w:val="00FE5345"/>
    <w:rsid w:val="00FE553F"/>
    <w:rsid w:val="00FE5AE8"/>
    <w:rsid w:val="00FE5E9F"/>
    <w:rsid w:val="00FE5F9F"/>
    <w:rsid w:val="00FE7273"/>
    <w:rsid w:val="00FE7391"/>
    <w:rsid w:val="00FE73B4"/>
    <w:rsid w:val="00FE7DB8"/>
    <w:rsid w:val="00FF0208"/>
    <w:rsid w:val="00FF04B9"/>
    <w:rsid w:val="00FF09A2"/>
    <w:rsid w:val="00FF0BD5"/>
    <w:rsid w:val="00FF1609"/>
    <w:rsid w:val="00FF160F"/>
    <w:rsid w:val="00FF24DE"/>
    <w:rsid w:val="00FF2B8E"/>
    <w:rsid w:val="00FF3506"/>
    <w:rsid w:val="00FF37E1"/>
    <w:rsid w:val="00FF39C1"/>
    <w:rsid w:val="00FF3D2E"/>
    <w:rsid w:val="00FF44DB"/>
    <w:rsid w:val="00FF4DB4"/>
    <w:rsid w:val="00FF503F"/>
    <w:rsid w:val="00FF5104"/>
    <w:rsid w:val="00FF596C"/>
    <w:rsid w:val="00FF5A1A"/>
    <w:rsid w:val="00FF5BBD"/>
    <w:rsid w:val="00FF5C98"/>
    <w:rsid w:val="00FF5F73"/>
    <w:rsid w:val="00FF624B"/>
    <w:rsid w:val="00FF69CA"/>
    <w:rsid w:val="00FF6B82"/>
    <w:rsid w:val="00FF6B98"/>
    <w:rsid w:val="00FF7623"/>
    <w:rsid w:val="00FF7B3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691EF"/>
  <w15:docId w15:val="{3D98A53F-5F61-4B62-A335-99F32B03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G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CA"/>
    <w:pPr>
      <w:spacing w:before="120" w:after="120" w:line="240" w:lineRule="auto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46B6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7E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7EF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7EF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7EF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7EF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7EF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7E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7E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7EF0"/>
    <w:rPr>
      <w:caps/>
      <w:spacing w:val="15"/>
      <w:shd w:val="clear" w:color="auto" w:fill="DBE5F1" w:themeFill="accent1" w:themeFillTint="33"/>
    </w:rPr>
  </w:style>
  <w:style w:type="paragraph" w:styleId="Prrafodelista">
    <w:name w:val="List Paragraph"/>
    <w:basedOn w:val="Normal"/>
    <w:uiPriority w:val="34"/>
    <w:qFormat/>
    <w:rsid w:val="00E97769"/>
    <w:pPr>
      <w:ind w:left="720"/>
      <w:contextualSpacing/>
    </w:pPr>
  </w:style>
  <w:style w:type="paragraph" w:customStyle="1" w:styleId="Default">
    <w:name w:val="Default"/>
    <w:rsid w:val="00D43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4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68CD"/>
    <w:pPr>
      <w:spacing w:before="100" w:beforeAutospacing="1" w:after="100" w:afterAutospacing="1"/>
    </w:pPr>
    <w:rPr>
      <w:rFonts w:cs="Times New Roman"/>
      <w:lang w:eastAsia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5E1C"/>
    <w:rPr>
      <w:rFonts w:eastAsiaTheme="minorHAnsi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5E1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5E1C"/>
    <w:rPr>
      <w:vertAlign w:val="superscript"/>
    </w:rPr>
  </w:style>
  <w:style w:type="table" w:styleId="Cuadrculaclara-nfasis1">
    <w:name w:val="Light Grid Accent 1"/>
    <w:basedOn w:val="Tablanormal"/>
    <w:uiPriority w:val="62"/>
    <w:rsid w:val="000B5E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0B5E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inespaciado">
    <w:name w:val="No Spacing"/>
    <w:link w:val="SinespaciadoCar"/>
    <w:uiPriority w:val="1"/>
    <w:qFormat/>
    <w:rsid w:val="00707EF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B5E1C"/>
  </w:style>
  <w:style w:type="paragraph" w:styleId="Ttulo">
    <w:name w:val="Title"/>
    <w:basedOn w:val="Normal"/>
    <w:next w:val="Normal"/>
    <w:link w:val="TtuloCar"/>
    <w:uiPriority w:val="10"/>
    <w:qFormat/>
    <w:rsid w:val="00707EF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07EF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07EF0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707EF0"/>
    <w:rPr>
      <w:caps/>
      <w:color w:val="595959" w:themeColor="text1" w:themeTint="A6"/>
      <w:spacing w:val="10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D46B67"/>
    <w:rPr>
      <w:rFonts w:ascii="Times New Roman" w:hAnsi="Times New Roman"/>
      <w:caps/>
      <w:color w:val="FFFFFF" w:themeColor="background1"/>
      <w:spacing w:val="15"/>
      <w:sz w:val="24"/>
      <w:szCs w:val="22"/>
      <w:shd w:val="clear" w:color="auto" w:fill="4F81BD" w:themeFill="accent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7EF0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36038"/>
    <w:pPr>
      <w:tabs>
        <w:tab w:val="left" w:pos="440"/>
        <w:tab w:val="right" w:leader="dot" w:pos="9394"/>
      </w:tabs>
      <w:spacing w:after="100"/>
    </w:pPr>
    <w:rPr>
      <w:rFonts w:eastAsiaTheme="majorEastAsia" w:cs="Times New Roman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54409D"/>
    <w:pPr>
      <w:tabs>
        <w:tab w:val="left" w:pos="880"/>
        <w:tab w:val="right" w:leader="dot" w:pos="9356"/>
      </w:tabs>
      <w:spacing w:after="100"/>
      <w:ind w:left="709" w:hanging="567"/>
    </w:pPr>
  </w:style>
  <w:style w:type="character" w:styleId="Hipervnculo">
    <w:name w:val="Hyperlink"/>
    <w:basedOn w:val="Fuentedeprrafopredeter"/>
    <w:uiPriority w:val="99"/>
    <w:unhideWhenUsed/>
    <w:rsid w:val="0032588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45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5C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C45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5C7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9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931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7EF0"/>
    <w:rPr>
      <w:caps/>
      <w:color w:val="243F60" w:themeColor="accent1" w:themeShade="7F"/>
      <w:spacing w:val="15"/>
    </w:rPr>
  </w:style>
  <w:style w:type="paragraph" w:customStyle="1" w:styleId="Ttulo11">
    <w:name w:val="Título 11"/>
    <w:basedOn w:val="Normal"/>
    <w:rsid w:val="000C0470"/>
    <w:pPr>
      <w:numPr>
        <w:numId w:val="23"/>
      </w:numPr>
    </w:pPr>
  </w:style>
  <w:style w:type="paragraph" w:customStyle="1" w:styleId="Ttulo21">
    <w:name w:val="Título 21"/>
    <w:basedOn w:val="Normal"/>
    <w:rsid w:val="000C0470"/>
    <w:pPr>
      <w:numPr>
        <w:ilvl w:val="1"/>
        <w:numId w:val="23"/>
      </w:numPr>
    </w:pPr>
  </w:style>
  <w:style w:type="paragraph" w:customStyle="1" w:styleId="Ttulo31">
    <w:name w:val="Título 31"/>
    <w:basedOn w:val="Normal"/>
    <w:rsid w:val="000C0470"/>
    <w:pPr>
      <w:numPr>
        <w:ilvl w:val="2"/>
        <w:numId w:val="23"/>
      </w:numPr>
    </w:pPr>
  </w:style>
  <w:style w:type="paragraph" w:customStyle="1" w:styleId="Ttulo41">
    <w:name w:val="Título 41"/>
    <w:basedOn w:val="Normal"/>
    <w:rsid w:val="000C0470"/>
    <w:pPr>
      <w:numPr>
        <w:ilvl w:val="3"/>
        <w:numId w:val="23"/>
      </w:numPr>
    </w:pPr>
  </w:style>
  <w:style w:type="paragraph" w:customStyle="1" w:styleId="Ttulo51">
    <w:name w:val="Título 51"/>
    <w:basedOn w:val="Normal"/>
    <w:rsid w:val="000C0470"/>
    <w:pPr>
      <w:numPr>
        <w:ilvl w:val="4"/>
        <w:numId w:val="23"/>
      </w:numPr>
    </w:pPr>
  </w:style>
  <w:style w:type="paragraph" w:customStyle="1" w:styleId="Ttulo61">
    <w:name w:val="Título 61"/>
    <w:basedOn w:val="Normal"/>
    <w:rsid w:val="000C0470"/>
    <w:pPr>
      <w:numPr>
        <w:ilvl w:val="5"/>
        <w:numId w:val="23"/>
      </w:numPr>
    </w:pPr>
  </w:style>
  <w:style w:type="paragraph" w:customStyle="1" w:styleId="Ttulo71">
    <w:name w:val="Título 71"/>
    <w:basedOn w:val="Normal"/>
    <w:rsid w:val="000C0470"/>
    <w:pPr>
      <w:numPr>
        <w:ilvl w:val="6"/>
        <w:numId w:val="23"/>
      </w:numPr>
    </w:pPr>
  </w:style>
  <w:style w:type="paragraph" w:customStyle="1" w:styleId="Ttulo81">
    <w:name w:val="Título 81"/>
    <w:basedOn w:val="Normal"/>
    <w:rsid w:val="000C0470"/>
    <w:pPr>
      <w:numPr>
        <w:ilvl w:val="7"/>
        <w:numId w:val="23"/>
      </w:numPr>
    </w:pPr>
  </w:style>
  <w:style w:type="paragraph" w:customStyle="1" w:styleId="Ttulo91">
    <w:name w:val="Título 91"/>
    <w:basedOn w:val="Normal"/>
    <w:rsid w:val="000C0470"/>
    <w:pPr>
      <w:numPr>
        <w:ilvl w:val="8"/>
        <w:numId w:val="23"/>
      </w:numPr>
    </w:pPr>
  </w:style>
  <w:style w:type="paragraph" w:styleId="TDC3">
    <w:name w:val="toc 3"/>
    <w:basedOn w:val="Normal"/>
    <w:next w:val="Normal"/>
    <w:autoRedefine/>
    <w:uiPriority w:val="39"/>
    <w:unhideWhenUsed/>
    <w:rsid w:val="0054409D"/>
    <w:pPr>
      <w:tabs>
        <w:tab w:val="left" w:pos="1134"/>
        <w:tab w:val="right" w:leader="dot" w:pos="9394"/>
      </w:tabs>
      <w:spacing w:after="100"/>
      <w:ind w:left="1134" w:hanging="708"/>
    </w:pPr>
  </w:style>
  <w:style w:type="paragraph" w:customStyle="1" w:styleId="BodyText2Sgl">
    <w:name w:val="Body Text 2 Sgl"/>
    <w:basedOn w:val="Normal"/>
    <w:rsid w:val="00EE52DF"/>
    <w:pPr>
      <w:spacing w:after="240"/>
      <w:ind w:firstLine="720"/>
    </w:pPr>
    <w:rPr>
      <w:rFonts w:eastAsiaTheme="minorHAnsi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EE52DF"/>
    <w:pPr>
      <w:spacing w:line="259" w:lineRule="auto"/>
    </w:pPr>
    <w:rPr>
      <w:rFonts w:eastAsiaTheme="minorHAnsi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52DF"/>
  </w:style>
  <w:style w:type="character" w:styleId="Refdecomentario">
    <w:name w:val="annotation reference"/>
    <w:basedOn w:val="Fuentedeprrafopredeter"/>
    <w:uiPriority w:val="99"/>
    <w:semiHidden/>
    <w:unhideWhenUsed/>
    <w:rsid w:val="00082E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2E6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2E65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2E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2E65"/>
    <w:rPr>
      <w:rFonts w:eastAsiaTheme="minorEastAsia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54409D"/>
    <w:pPr>
      <w:spacing w:after="0" w:line="240" w:lineRule="auto"/>
    </w:pPr>
    <w:rPr>
      <w:sz w:val="24"/>
      <w:szCs w:val="24"/>
      <w:lang w:val="es-ES_tradnl" w:eastAsia="es-ES"/>
    </w:rPr>
  </w:style>
  <w:style w:type="table" w:styleId="Tablanormal3">
    <w:name w:val="Plain Table 3"/>
    <w:basedOn w:val="Tablanormal"/>
    <w:uiPriority w:val="43"/>
    <w:rsid w:val="00FD31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D31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B0FEE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7EF0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7EF0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7EF0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7EF0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7EF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7EF0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7EF0"/>
    <w:rPr>
      <w:b/>
      <w:bCs/>
      <w:color w:val="365F91" w:themeColor="accent1" w:themeShade="BF"/>
      <w:sz w:val="16"/>
      <w:szCs w:val="16"/>
    </w:rPr>
  </w:style>
  <w:style w:type="character" w:styleId="Textoennegrita">
    <w:name w:val="Strong"/>
    <w:uiPriority w:val="22"/>
    <w:qFormat/>
    <w:rsid w:val="00707EF0"/>
    <w:rPr>
      <w:b/>
      <w:bCs/>
    </w:rPr>
  </w:style>
  <w:style w:type="character" w:styleId="nfasis">
    <w:name w:val="Emphasis"/>
    <w:uiPriority w:val="20"/>
    <w:qFormat/>
    <w:rsid w:val="00707EF0"/>
    <w:rPr>
      <w:caps/>
      <w:color w:val="243F60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707EF0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07EF0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7EF0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7EF0"/>
    <w:rPr>
      <w:color w:val="4F81BD" w:themeColor="accent1"/>
      <w:sz w:val="24"/>
      <w:szCs w:val="24"/>
    </w:rPr>
  </w:style>
  <w:style w:type="character" w:styleId="nfasissutil">
    <w:name w:val="Subtle Emphasis"/>
    <w:uiPriority w:val="19"/>
    <w:qFormat/>
    <w:rsid w:val="00707EF0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707EF0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707EF0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707EF0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707EF0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chart" Target="charts/chart2.xml"/><Relationship Id="rId26" Type="http://schemas.microsoft.com/office/2007/relationships/diagramDrawing" Target="diagrams/drawing2.xml"/><Relationship Id="rId39" Type="http://schemas.openxmlformats.org/officeDocument/2006/relationships/diagramLayout" Target="diagrams/layout4.xml"/><Relationship Id="rId21" Type="http://schemas.openxmlformats.org/officeDocument/2006/relationships/chart" Target="charts/chart5.xml"/><Relationship Id="rId34" Type="http://schemas.openxmlformats.org/officeDocument/2006/relationships/chart" Target="charts/chart8.xml"/><Relationship Id="rId42" Type="http://schemas.microsoft.com/office/2007/relationships/diagramDrawing" Target="diagrams/drawing4.xml"/><Relationship Id="rId47" Type="http://schemas.openxmlformats.org/officeDocument/2006/relationships/diagramColors" Target="diagrams/colors5.xm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9" Type="http://schemas.openxmlformats.org/officeDocument/2006/relationships/diagramLayout" Target="diagrams/layout3.xml"/><Relationship Id="rId11" Type="http://schemas.openxmlformats.org/officeDocument/2006/relationships/image" Target="media/image3.png"/><Relationship Id="rId24" Type="http://schemas.openxmlformats.org/officeDocument/2006/relationships/diagramQuickStyle" Target="diagrams/quickStyle2.xml"/><Relationship Id="rId32" Type="http://schemas.microsoft.com/office/2007/relationships/diagramDrawing" Target="diagrams/drawing3.xml"/><Relationship Id="rId37" Type="http://schemas.openxmlformats.org/officeDocument/2006/relationships/chart" Target="charts/chart11.xml"/><Relationship Id="rId40" Type="http://schemas.openxmlformats.org/officeDocument/2006/relationships/diagramQuickStyle" Target="diagrams/quickStyle4.xml"/><Relationship Id="rId45" Type="http://schemas.openxmlformats.org/officeDocument/2006/relationships/diagramLayout" Target="diagrams/layout5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chart" Target="charts/chart3.xml"/><Relationship Id="rId31" Type="http://schemas.openxmlformats.org/officeDocument/2006/relationships/diagramColors" Target="diagrams/colors3.xml"/><Relationship Id="rId44" Type="http://schemas.openxmlformats.org/officeDocument/2006/relationships/diagramData" Target="diagrams/data5.xml"/><Relationship Id="rId52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Relationship Id="rId22" Type="http://schemas.openxmlformats.org/officeDocument/2006/relationships/diagramData" Target="diagrams/data2.xml"/><Relationship Id="rId27" Type="http://schemas.openxmlformats.org/officeDocument/2006/relationships/chart" Target="charts/chart6.xml"/><Relationship Id="rId30" Type="http://schemas.openxmlformats.org/officeDocument/2006/relationships/diagramQuickStyle" Target="diagrams/quickStyle3.xml"/><Relationship Id="rId35" Type="http://schemas.openxmlformats.org/officeDocument/2006/relationships/chart" Target="charts/chart9.xml"/><Relationship Id="rId43" Type="http://schemas.openxmlformats.org/officeDocument/2006/relationships/chart" Target="charts/chart12.xml"/><Relationship Id="rId48" Type="http://schemas.microsoft.com/office/2007/relationships/diagramDrawing" Target="diagrams/drawing5.xm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numbering" Target="numbering.xml"/><Relationship Id="rId12" Type="http://schemas.openxmlformats.org/officeDocument/2006/relationships/chart" Target="charts/chart1.xml"/><Relationship Id="rId17" Type="http://schemas.microsoft.com/office/2007/relationships/diagramDrawing" Target="diagrams/drawing1.xml"/><Relationship Id="rId25" Type="http://schemas.openxmlformats.org/officeDocument/2006/relationships/diagramColors" Target="diagrams/colors2.xml"/><Relationship Id="rId33" Type="http://schemas.openxmlformats.org/officeDocument/2006/relationships/chart" Target="charts/chart7.xml"/><Relationship Id="rId38" Type="http://schemas.openxmlformats.org/officeDocument/2006/relationships/diagramData" Target="diagrams/data4.xml"/><Relationship Id="rId46" Type="http://schemas.openxmlformats.org/officeDocument/2006/relationships/diagramQuickStyle" Target="diagrams/quickStyle5.xml"/><Relationship Id="rId20" Type="http://schemas.openxmlformats.org/officeDocument/2006/relationships/chart" Target="charts/chart4.xml"/><Relationship Id="rId41" Type="http://schemas.openxmlformats.org/officeDocument/2006/relationships/diagramColors" Target="diagrams/colors4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diagramLayout" Target="diagrams/layout2.xml"/><Relationship Id="rId28" Type="http://schemas.openxmlformats.org/officeDocument/2006/relationships/diagramData" Target="diagrams/data3.xml"/><Relationship Id="rId36" Type="http://schemas.openxmlformats.org/officeDocument/2006/relationships/chart" Target="charts/chart10.xml"/><Relationship Id="rId4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chartUserShapes" Target="../drawings/drawing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12.xml"/><Relationship Id="rId1" Type="http://schemas.microsoft.com/office/2011/relationships/chartStyle" Target="style12.xml"/><Relationship Id="rId5" Type="http://schemas.openxmlformats.org/officeDocument/2006/relationships/chartUserShapes" Target="../drawings/drawing10.xml"/><Relationship Id="rId4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5" Type="http://schemas.openxmlformats.org/officeDocument/2006/relationships/chartUserShapes" Target="../drawings/drawing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5" Type="http://schemas.openxmlformats.org/officeDocument/2006/relationships/chartUserShapes" Target="../drawings/drawing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s-GT" sz="1200"/>
              <a:t>Ingresos</a:t>
            </a:r>
            <a:r>
              <a:rPr lang="es-GT" sz="1200" baseline="0"/>
              <a:t> Totales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es-GT" sz="1100" baseline="0"/>
              <a:t>Variación interanual acumulada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es-GT" sz="1000" b="0" baseline="0"/>
              <a:t>En porcentajes</a:t>
            </a:r>
            <a:endParaRPr lang="es-GT" sz="1000" b="0"/>
          </a:p>
        </c:rich>
      </c:tx>
      <c:layout>
        <c:manualLayout>
          <c:xMode val="edge"/>
          <c:yMode val="edge"/>
          <c:x val="0.17654292871783192"/>
          <c:y val="0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5.0673161848705683E-2"/>
          <c:y val="0.22009191708179338"/>
          <c:w val="1"/>
          <c:h val="0.47155991215383791"/>
        </c:manualLayout>
      </c:layout>
      <c:barChart>
        <c:barDir val="col"/>
        <c:grouping val="clustered"/>
        <c:varyColors val="0"/>
        <c:ser>
          <c:idx val="0"/>
          <c:order val="1"/>
          <c:tx>
            <c:strRef>
              <c:f>Hoja1!$D$1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2244618575562284E-4"/>
                  <c:y val="-2.0356312603781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8E-4F11-B795-3C8DE4243CFB}"/>
                </c:ext>
              </c:extLst>
            </c:dLbl>
            <c:dLbl>
              <c:idx val="1"/>
              <c:layout>
                <c:manualLayout>
                  <c:x val="0"/>
                  <c:y val="-1.0178117048346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69-4070-A5FD-52761F3A437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70952BE-0E47-4080-9730-962434246B8C}" type="VALUE"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/>
                      <a:t>[VALOR]</a:t>
                    </a:fld>
                    <a:endParaRPr lang="es-GT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7DA-4CEC-AFDB-4DA9C5CBDAE3}"/>
                </c:ext>
              </c:extLst>
            </c:dLbl>
            <c:dLbl>
              <c:idx val="3"/>
              <c:layout>
                <c:manualLayout>
                  <c:x val="-4.5024763619991824E-3"/>
                  <c:y val="-9.329832848625337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7DA-4CEC-AFDB-4DA9C5CBDAE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E595BC7-DCA9-479A-871E-3B938E48F3A0}" type="VALUE"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/>
                      <a:t>[VALOR]</a:t>
                    </a:fld>
                    <a:endParaRPr lang="es-GT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7DA-4CEC-AFDB-4DA9C5CBDAE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9DDCDE80-5BE7-4E7D-88FF-C833BCB9D083}" type="VALUE"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/>
                      <a:t>[VALOR]</a:t>
                    </a:fld>
                    <a:endParaRPr lang="es-GT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7DA-4CEC-AFDB-4DA9C5CBDAE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2D891769-A5A5-4BD0-9B1C-58547D5E3D03}" type="VALUE"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/>
                      <a:t>[VALOR]</a:t>
                    </a:fld>
                    <a:endParaRPr lang="es-GT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7DA-4CEC-AFDB-4DA9C5CBDAE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D55D93F5-CB79-4C89-BF5E-9AF4FE653A6C}" type="VALUE"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/>
                      <a:t>[VALOR]</a:t>
                    </a:fld>
                    <a:endParaRPr lang="es-GT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7DA-4CEC-AFDB-4DA9C5CBDAE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A49661DA-D522-4D0D-AEC4-E447451C9457}" type="VALUE">
                      <a:rPr lang="en-US" sz="70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/>
                      <a:t>[VALOR]</a:t>
                    </a:fld>
                    <a:endParaRPr lang="es-GT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7DA-4CEC-AFDB-4DA9C5CBDAE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accent5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Hoja1!$D$2:$D$7</c:f>
              <c:numCache>
                <c:formatCode>#,##0.0_ ;[Red]\-#,##0.0\ </c:formatCode>
                <c:ptCount val="6"/>
                <c:pt idx="0">
                  <c:v>3.6987296928347346</c:v>
                </c:pt>
                <c:pt idx="1">
                  <c:v>4.6530221901670998</c:v>
                </c:pt>
                <c:pt idx="2">
                  <c:v>17.088951853922918</c:v>
                </c:pt>
                <c:pt idx="3">
                  <c:v>17.153265606248326</c:v>
                </c:pt>
                <c:pt idx="4">
                  <c:v>21.201496846959511</c:v>
                </c:pt>
                <c:pt idx="5">
                  <c:v>23.49049257271183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D9-4984-901D-E1114F265272}"/>
            </c:ext>
          </c:extLst>
        </c:ser>
        <c:ser>
          <c:idx val="1"/>
          <c:order val="2"/>
          <c:tx>
            <c:strRef>
              <c:f>Hoja1!$C$1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BBB59"/>
            </a:solidFill>
            <a:ln>
              <a:solidFill>
                <a:sysClr val="windowText" lastClr="000000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9.0050915882388064E-3"/>
                  <c:y val="1.0884353741496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7DA-4CEC-AFDB-4DA9C5CBDAE3}"/>
                </c:ext>
              </c:extLst>
            </c:dLbl>
            <c:dLbl>
              <c:idx val="1"/>
              <c:layout>
                <c:manualLayout>
                  <c:x val="7.1828556726899655E-3"/>
                  <c:y val="2.2556323316728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8E-4F11-B795-3C8DE4243CFB}"/>
                </c:ext>
              </c:extLst>
            </c:dLbl>
            <c:dLbl>
              <c:idx val="2"/>
              <c:layout>
                <c:manualLayout>
                  <c:x val="2.1655925522419822E-3"/>
                  <c:y val="-5.066066741657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7DA-4CEC-AFDB-4DA9C5CBDAE3}"/>
                </c:ext>
              </c:extLst>
            </c:dLbl>
            <c:dLbl>
              <c:idx val="3"/>
              <c:layout>
                <c:manualLayout>
                  <c:x val="-1.4790739449414109E-16"/>
                  <c:y val="-3.9691038620172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8E-4F11-B795-3C8DE4243CFB}"/>
                </c:ext>
              </c:extLst>
            </c:dLbl>
            <c:dLbl>
              <c:idx val="4"/>
              <c:layout>
                <c:manualLayout>
                  <c:x val="0"/>
                  <c:y val="-2.6542800265428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4A-4036-9CA9-4FEE2D543697}"/>
                </c:ext>
              </c:extLst>
            </c:dLbl>
            <c:dLbl>
              <c:idx val="5"/>
              <c:layout>
                <c:manualLayout>
                  <c:x val="0"/>
                  <c:y val="-6.6357000663570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4A-4036-9CA9-4FEE2D543697}"/>
                </c:ext>
              </c:extLst>
            </c:dLbl>
            <c:dLbl>
              <c:idx val="6"/>
              <c:layout>
                <c:manualLayout>
                  <c:x val="0"/>
                  <c:y val="1.3271400132714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56-43FC-A646-87823658FB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Hoja1!$C$2:$C$7</c:f>
              <c:numCache>
                <c:formatCode>#,##0.0_ ;[Red]\-#,##0.0\ </c:formatCode>
                <c:ptCount val="6"/>
                <c:pt idx="0">
                  <c:v>9.4100595244403848</c:v>
                </c:pt>
                <c:pt idx="1">
                  <c:v>9.8949694280561005</c:v>
                </c:pt>
                <c:pt idx="2">
                  <c:v>13.104900398002561</c:v>
                </c:pt>
                <c:pt idx="3">
                  <c:v>13.569691833790642</c:v>
                </c:pt>
                <c:pt idx="4">
                  <c:v>13.886132681570086</c:v>
                </c:pt>
                <c:pt idx="5">
                  <c:v>14.387385837213795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9-4984-901D-E1114F265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9281743"/>
        <c:axId val="344873055"/>
      </c:barChart>
      <c:lineChart>
        <c:grouping val="standard"/>
        <c:varyColors val="0"/>
        <c:ser>
          <c:idx val="2"/>
          <c:order val="0"/>
          <c:tx>
            <c:strRef>
              <c:f>Hoja1!$B$1</c:f>
              <c:strCache>
                <c:ptCount val="1"/>
                <c:pt idx="0">
                  <c:v>2023*</c:v>
                </c:pt>
              </c:strCache>
            </c:strRef>
          </c:tx>
          <c:spPr>
            <a:ln w="25400" cap="rnd">
              <a:solidFill>
                <a:srgbClr val="002060"/>
              </a:solidFill>
              <a:round/>
              <a:tailEnd type="triangle"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7"/>
            <c:spPr>
              <a:solidFill>
                <a:srgbClr val="9BBB59">
                  <a:lumMod val="50000"/>
                </a:srgbClr>
              </a:solidFill>
              <a:ln w="15875">
                <a:solidFill>
                  <a:srgbClr val="002060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1.7961724576545733E-2"/>
                  <c:y val="-5.4841902217491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8F-4D19-9CDB-2A18BD344173}"/>
                </c:ext>
              </c:extLst>
            </c:dLbl>
            <c:dLbl>
              <c:idx val="1"/>
              <c:layout>
                <c:manualLayout>
                  <c:x val="-2.967982185423013E-2"/>
                  <c:y val="-6.4511629870863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8F-4D19-9CDB-2A18BD344173}"/>
                </c:ext>
              </c:extLst>
            </c:dLbl>
            <c:spPr>
              <a:solidFill>
                <a:srgbClr val="1F497D">
                  <a:lumMod val="75000"/>
                </a:srgb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Hoja1!$B$2:$B$7</c:f>
              <c:numCache>
                <c:formatCode>#,##0.0_ ;[Red]\-#,##0.0\ </c:formatCode>
                <c:ptCount val="6"/>
                <c:pt idx="0">
                  <c:v>12.210508987485834</c:v>
                </c:pt>
                <c:pt idx="1">
                  <c:v>12.267521043527175</c:v>
                </c:pt>
                <c:pt idx="2">
                  <c:v>12.209861062000794</c:v>
                </c:pt>
                <c:pt idx="3">
                  <c:v>10.90801320368846</c:v>
                </c:pt>
                <c:pt idx="4">
                  <c:v>10.815236145476327</c:v>
                </c:pt>
                <c:pt idx="5">
                  <c:v>10.226553861005572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5-E2D9-4984-901D-E1114F265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9281743"/>
        <c:axId val="344873055"/>
      </c:lineChart>
      <c:catAx>
        <c:axId val="15092817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344873055"/>
        <c:crosses val="autoZero"/>
        <c:auto val="1"/>
        <c:lblAlgn val="ctr"/>
        <c:lblOffset val="100"/>
        <c:noMultiLvlLbl val="0"/>
      </c:catAx>
      <c:valAx>
        <c:axId val="344873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09281743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.84885146499544706"/>
          <c:w val="0.25562378453001183"/>
          <c:h val="0.135975574481761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legend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4">
    <c:autoUpdate val="0"/>
  </c:externalData>
  <c:userShapes r:id="rId5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s-GT"/>
              <a:t>Flujo</a:t>
            </a:r>
            <a:r>
              <a:rPr lang="es-GT" baseline="0"/>
              <a:t> mensual  </a:t>
            </a:r>
          </a:p>
        </c:rich>
      </c:tx>
      <c:layout>
        <c:manualLayout>
          <c:xMode val="edge"/>
          <c:yMode val="edge"/>
          <c:x val="0.381879044856059"/>
          <c:y val="3.682551890094241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cap="none" spc="0" normalizeH="0" baseline="0">
              <a:solidFill>
                <a:schemeClr val="tx1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12373024346532956"/>
          <c:w val="0.97198739067860607"/>
          <c:h val="0.645023872321583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Adquicición neta de activos financieros</c:v>
                </c:pt>
              </c:strCache>
            </c:strRef>
          </c:tx>
          <c:spPr>
            <a:solidFill>
              <a:srgbClr val="D99694"/>
            </a:solidFill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1"/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0-86B5-48AC-A799-674E4424E624}"/>
              </c:ext>
            </c:extLst>
          </c:dPt>
          <c:dPt>
            <c:idx val="6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1-86B5-48AC-A799-674E4424E624}"/>
              </c:ext>
            </c:extLst>
          </c:dPt>
          <c:dPt>
            <c:idx val="9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86B5-48AC-A799-674E4424E624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86B5-48AC-A799-674E4424E624}"/>
              </c:ext>
            </c:extLst>
          </c:dPt>
          <c:dLbls>
            <c:dLbl>
              <c:idx val="0"/>
              <c:layout>
                <c:manualLayout>
                  <c:x val="0"/>
                  <c:y val="1.5261350629530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B5-48AC-A799-674E4424E624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6B5-48AC-A799-674E4424E624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6B5-48AC-A799-674E4424E624}"/>
                </c:ext>
              </c:extLst>
            </c:dLbl>
            <c:dLbl>
              <c:idx val="3"/>
              <c:layout>
                <c:manualLayout>
                  <c:x val="0"/>
                  <c:y val="-2.79356742717667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B5-48AC-A799-674E4424E624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6B5-48AC-A799-674E4424E624}"/>
                </c:ext>
              </c:extLst>
            </c:dLbl>
            <c:dLbl>
              <c:idx val="5"/>
              <c:layout>
                <c:manualLayout>
                  <c:x val="0"/>
                  <c:y val="2.5062666957535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6B5-48AC-A799-674E4424E624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B5-48AC-A799-674E4424E624}"/>
                </c:ext>
              </c:extLst>
            </c:dLbl>
            <c:dLbl>
              <c:idx val="7"/>
              <c:layout>
                <c:manualLayout>
                  <c:x val="-7.0471349404377432E-17"/>
                  <c:y val="-1.3532903534675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6B5-48AC-A799-674E4424E624}"/>
                </c:ext>
              </c:extLst>
            </c:dLbl>
            <c:dLbl>
              <c:idx val="8"/>
              <c:layout>
                <c:manualLayout>
                  <c:x val="4.4632033911386681E-3"/>
                  <c:y val="2.0484409632952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6B5-48AC-A799-674E4424E624}"/>
                </c:ext>
              </c:extLst>
            </c:dLbl>
            <c:dLbl>
              <c:idx val="9"/>
              <c:layout>
                <c:manualLayout>
                  <c:x val="0"/>
                  <c:y val="1.41813668640257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B5-48AC-A799-674E4424E624}"/>
                </c:ext>
              </c:extLst>
            </c:dLbl>
            <c:dLbl>
              <c:idx val="10"/>
              <c:layout>
                <c:manualLayout>
                  <c:x val="0"/>
                  <c:y val="1.52613506295307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6B5-48AC-A799-674E4424E624}"/>
                </c:ext>
              </c:extLst>
            </c:dLbl>
            <c:dLbl>
              <c:idx val="11"/>
              <c:layout>
                <c:manualLayout>
                  <c:x val="-7.68787238131847E-3"/>
                  <c:y val="1.196868807068121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6B5-48AC-A799-674E4424E624}"/>
                </c:ext>
              </c:extLst>
            </c:dLbl>
            <c:dLbl>
              <c:idx val="12"/>
              <c:layout>
                <c:manualLayout>
                  <c:x val="-3.8439361906592376E-3"/>
                  <c:y val="5.1718542489993221E-3"/>
                </c:manualLayout>
              </c:layout>
              <c:numFmt formatCode="[Red]#,##0.0_ ;\-#,##0.0\ 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0839900057659"/>
                      <c:h val="5.78778135048231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86B5-48AC-A799-674E4424E624}"/>
                </c:ext>
              </c:extLst>
            </c:dLbl>
            <c:numFmt formatCode="[Red]#,##0.0_ ;\-#,##0.0\ 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Hoja1!$B$1:$H$1</c:f>
              <c:strCache>
                <c:ptCount val="7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Total</c:v>
                </c:pt>
              </c:strCache>
            </c:strRef>
          </c:cat>
          <c:val>
            <c:numRef>
              <c:f>Hoja1!$B$2:$H$2</c:f>
              <c:numCache>
                <c:formatCode>#,##0.00</c:formatCode>
                <c:ptCount val="7"/>
                <c:pt idx="0">
                  <c:v>-328.94957144</c:v>
                </c:pt>
                <c:pt idx="1">
                  <c:v>-993.52609620999999</c:v>
                </c:pt>
                <c:pt idx="2">
                  <c:v>-207.38446834999999</c:v>
                </c:pt>
                <c:pt idx="3">
                  <c:v>-1142.0239206199999</c:v>
                </c:pt>
                <c:pt idx="4">
                  <c:v>171.35769390000002</c:v>
                </c:pt>
                <c:pt idx="5">
                  <c:v>7247.9522625499985</c:v>
                </c:pt>
                <c:pt idx="6">
                  <c:v>4747.4258998299993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BBB59"/>
                  </a:solidFill>
                  <a:ln>
                    <a:solidFill>
                      <a:schemeClr val="tx1"/>
                    </a:solidFill>
                  </a:ln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c14:spPr>
              </c14:invertSolidFillFmt>
            </c:ext>
            <c:ext xmlns:c16="http://schemas.microsoft.com/office/drawing/2014/chart" uri="{C3380CC4-5D6E-409C-BE32-E72D297353CC}">
              <c16:uniqueId val="{0000000E-86B5-48AC-A799-674E4424E62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3"/>
        <c:overlap val="7"/>
        <c:axId val="152970912"/>
        <c:axId val="152969984"/>
      </c:barChart>
      <c:catAx>
        <c:axId val="152970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2969984"/>
        <c:crosses val="autoZero"/>
        <c:auto val="1"/>
        <c:lblAlgn val="ctr"/>
        <c:lblOffset val="100"/>
        <c:noMultiLvlLbl val="0"/>
      </c:catAx>
      <c:valAx>
        <c:axId val="152969984"/>
        <c:scaling>
          <c:orientation val="minMax"/>
        </c:scaling>
        <c:delete val="1"/>
        <c:axPos val="l"/>
        <c:numFmt formatCode="#,##0_ ;[Red]\-#,##0\ " sourceLinked="0"/>
        <c:majorTickMark val="out"/>
        <c:minorTickMark val="none"/>
        <c:tickLblPos val="nextTo"/>
        <c:crossAx val="152970912"/>
        <c:crosses val="autoZero"/>
        <c:crossBetween val="between"/>
      </c:valAx>
      <c:spPr>
        <a:pattFill prst="ltDnDiag">
          <a:fgClr>
            <a:srgbClr val="000000">
              <a:alpha val="0"/>
            </a:srgbClr>
          </a:fgClr>
          <a:bgClr>
            <a:srgbClr val="FFFFFF"/>
          </a:bgClr>
        </a:pattFill>
        <a:ln w="25400">
          <a:noFill/>
        </a:ln>
        <a:effectLst/>
      </c:spPr>
    </c:plotArea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  <c:userShapes r:id="rId4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sz="900" b="1">
                <a:solidFill>
                  <a:schemeClr val="tx1"/>
                </a:solidFill>
              </a:rPr>
              <a:t>Por tipo de intrumento </a:t>
            </a:r>
          </a:p>
          <a:p>
            <a:pPr>
              <a:defRPr b="1">
                <a:solidFill>
                  <a:schemeClr val="tx1"/>
                </a:solidFill>
              </a:defRPr>
            </a:pPr>
            <a:r>
              <a:rPr lang="en-US" sz="900" b="1">
                <a:solidFill>
                  <a:schemeClr val="tx1"/>
                </a:solidFill>
              </a:rPr>
              <a:t>Cifra acumulada</a:t>
            </a:r>
          </a:p>
        </c:rich>
      </c:tx>
      <c:layout>
        <c:manualLayout>
          <c:xMode val="edge"/>
          <c:yMode val="edge"/>
          <c:x val="0.24247808794645748"/>
          <c:y val="4.453592907185814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cap="none" spc="0" normalizeH="0" baseline="0">
              <a:solidFill>
                <a:schemeClr val="tx1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.38159896451299752"/>
          <c:y val="0.19398968496750502"/>
          <c:w val="0.49374350124042704"/>
          <c:h val="0.700110360220720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1-6561-4004-9F39-C4307818C6BC}"/>
              </c:ext>
            </c:extLst>
          </c:dPt>
          <c:dPt>
            <c:idx val="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3-6561-4004-9F39-C4307818C6BC}"/>
              </c:ext>
            </c:extLst>
          </c:dPt>
          <c:dPt>
            <c:idx val="2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5-6561-4004-9F39-C4307818C6BC}"/>
              </c:ext>
            </c:extLst>
          </c:dPt>
          <c:dLbls>
            <c:dLbl>
              <c:idx val="0"/>
              <c:layout>
                <c:manualLayout>
                  <c:x val="-1.0045546053451392E-16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61-4004-9F39-C4307818C6BC}"/>
                </c:ext>
              </c:extLst>
            </c:dLbl>
            <c:numFmt formatCode="[Red]#,##0.0_ ;[Black]\-#,##0.0\ 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accent3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Títulos de deuda</c:v>
                </c:pt>
                <c:pt idx="1">
                  <c:v>Préstamos</c:v>
                </c:pt>
                <c:pt idx="2">
                  <c:v>Otras cuentas por pagar</c:v>
                </c:pt>
              </c:strCache>
            </c:strRef>
          </c:cat>
          <c:val>
            <c:numRef>
              <c:f>Hoja1!$B$2:$B$4</c:f>
              <c:numCache>
                <c:formatCode>#,##0.0_ ;[Red]\-#,##0.0\ </c:formatCode>
                <c:ptCount val="3"/>
                <c:pt idx="0">
                  <c:v>6172.5858849799997</c:v>
                </c:pt>
                <c:pt idx="1">
                  <c:v>-1083.57325932</c:v>
                </c:pt>
                <c:pt idx="2">
                  <c:v>-341.58672582999998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BBB59"/>
                  </a:solidFill>
                  <a:ln>
                    <a:solidFill>
                      <a:schemeClr val="tx1"/>
                    </a:solidFill>
                  </a:ln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c14:spPr>
              </c14:invertSolidFillFmt>
            </c:ext>
            <c:ext xmlns:c16="http://schemas.microsoft.com/office/drawing/2014/chart" uri="{C3380CC4-5D6E-409C-BE32-E72D297353CC}">
              <c16:uniqueId val="{00000006-6561-4004-9F39-C4307818C6B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9"/>
        <c:overlap val="-48"/>
        <c:axId val="152972768"/>
        <c:axId val="152984368"/>
      </c:barChart>
      <c:catAx>
        <c:axId val="15297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8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2984368"/>
        <c:crosses val="autoZero"/>
        <c:auto val="1"/>
        <c:lblAlgn val="ctr"/>
        <c:lblOffset val="100"/>
        <c:noMultiLvlLbl val="0"/>
      </c:catAx>
      <c:valAx>
        <c:axId val="152984368"/>
        <c:scaling>
          <c:orientation val="minMax"/>
          <c:max val="12000"/>
          <c:min val="-6000"/>
        </c:scaling>
        <c:delete val="0"/>
        <c:axPos val="b"/>
        <c:numFmt formatCode="#,##0_ ;[Red]\-#,##0\ 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2972768"/>
        <c:crosses val="autoZero"/>
        <c:crossBetween val="between"/>
        <c:majorUnit val="600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s-GT" sz="1200" b="1" i="0" baseline="0">
                <a:effectLst/>
              </a:rPr>
              <a:t>Erogaciones por Funciones de Gobierno</a:t>
            </a:r>
            <a:endParaRPr lang="es-GT" sz="1200">
              <a:effectLst/>
            </a:endParaRP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es-GT" sz="1100" b="1" i="0" baseline="0">
                <a:effectLst/>
              </a:rPr>
              <a:t>Variaciones interanuales acumuladas a junio de cada año </a:t>
            </a:r>
            <a:endParaRPr lang="es-GT" sz="1100">
              <a:effectLst/>
            </a:endParaRP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es-GT" sz="1000" b="0" i="0" baseline="0">
                <a:effectLst/>
              </a:rPr>
              <a:t>En millones de quetzales</a:t>
            </a:r>
            <a:endParaRPr lang="es-GT" sz="1000">
              <a:effectLst/>
            </a:endParaRPr>
          </a:p>
        </c:rich>
      </c:tx>
      <c:layout>
        <c:manualLayout>
          <c:xMode val="edge"/>
          <c:yMode val="edge"/>
          <c:x val="0.1560094764529353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.32780253795046432"/>
          <c:y val="0.14794842347763298"/>
          <c:w val="0.68935531496062996"/>
          <c:h val="0.793320909122167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2023*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  <a:ln>
              <a:solidFill>
                <a:sysClr val="windowText" lastClr="000000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accent5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Hoja1!$A$2:$A$11</c:f>
              <c:strCache>
                <c:ptCount val="10"/>
                <c:pt idx="0">
                  <c:v>Protección social </c:v>
                </c:pt>
                <c:pt idx="1">
                  <c:v>Servicios públicos generales </c:v>
                </c:pt>
                <c:pt idx="2">
                  <c:v>Educación </c:v>
                </c:pt>
                <c:pt idx="3">
                  <c:v>Asuntos económicos </c:v>
                </c:pt>
                <c:pt idx="4">
                  <c:v>Orden público y seguridad </c:v>
                </c:pt>
                <c:pt idx="5">
                  <c:v>Salud </c:v>
                </c:pt>
                <c:pt idx="6">
                  <c:v>Vivienda y servicios comunitarios </c:v>
                </c:pt>
                <c:pt idx="7">
                  <c:v>Actividades recreativas, cultura y religión </c:v>
                </c:pt>
                <c:pt idx="8">
                  <c:v>Protección del medio ambiente </c:v>
                </c:pt>
                <c:pt idx="9">
                  <c:v>Defensa </c:v>
                </c:pt>
              </c:strCache>
            </c:strRef>
          </c:cat>
          <c:val>
            <c:numRef>
              <c:f>Hoja1!$B$2:$B$11</c:f>
              <c:numCache>
                <c:formatCode>_-* #,##0.0_-;\-* #,##0.0_-;_-* "-"??_-;_-@_-</c:formatCode>
                <c:ptCount val="10"/>
                <c:pt idx="0">
                  <c:v>2598.6428290999984</c:v>
                </c:pt>
                <c:pt idx="1">
                  <c:v>2161.6313437000008</c:v>
                </c:pt>
                <c:pt idx="2">
                  <c:v>1776.8045907199994</c:v>
                </c:pt>
                <c:pt idx="3">
                  <c:v>1571.1681540099999</c:v>
                </c:pt>
                <c:pt idx="4">
                  <c:v>1253.4575758799992</c:v>
                </c:pt>
                <c:pt idx="5">
                  <c:v>766.98033990000113</c:v>
                </c:pt>
                <c:pt idx="6">
                  <c:v>475.86446277999994</c:v>
                </c:pt>
                <c:pt idx="7">
                  <c:v>345.91604754000002</c:v>
                </c:pt>
                <c:pt idx="8">
                  <c:v>147.89320191999991</c:v>
                </c:pt>
                <c:pt idx="9">
                  <c:v>-127.54122649999977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D54-4E08-A47A-DB0E13A836B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EEECE1">
                <a:lumMod val="75000"/>
              </a:srgbClr>
            </a:solidFill>
            <a:ln>
              <a:solidFill>
                <a:sysClr val="windowText" lastClr="000000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-5.90405904059051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8F-40C9-B060-4C15B577514B}"/>
                </c:ext>
              </c:extLst>
            </c:dLbl>
            <c:dLbl>
              <c:idx val="1"/>
              <c:layout>
                <c:manualLayout>
                  <c:x val="0"/>
                  <c:y val="-5.90405904059051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D54-4E08-A47A-DB0E13A836B8}"/>
                </c:ext>
              </c:extLst>
            </c:dLbl>
            <c:dLbl>
              <c:idx val="7"/>
              <c:layout>
                <c:manualLayout>
                  <c:x val="-7.846403401476049E-17"/>
                  <c:y val="-6.43086816720263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10-4CE9-ACCA-F53BCBE4858D}"/>
                </c:ext>
              </c:extLst>
            </c:dLbl>
            <c:dLbl>
              <c:idx val="9"/>
              <c:layout>
                <c:manualLayout>
                  <c:x val="0"/>
                  <c:y val="-1.2402388608176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10-4CE9-ACCA-F53BCBE4858D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Hoja1!$A$2:$A$11</c:f>
              <c:strCache>
                <c:ptCount val="10"/>
                <c:pt idx="0">
                  <c:v>Protección social </c:v>
                </c:pt>
                <c:pt idx="1">
                  <c:v>Servicios públicos generales </c:v>
                </c:pt>
                <c:pt idx="2">
                  <c:v>Educación </c:v>
                </c:pt>
                <c:pt idx="3">
                  <c:v>Asuntos económicos </c:v>
                </c:pt>
                <c:pt idx="4">
                  <c:v>Orden público y seguridad </c:v>
                </c:pt>
                <c:pt idx="5">
                  <c:v>Salud </c:v>
                </c:pt>
                <c:pt idx="6">
                  <c:v>Vivienda y servicios comunitarios </c:v>
                </c:pt>
                <c:pt idx="7">
                  <c:v>Actividades recreativas, cultura y religión </c:v>
                </c:pt>
                <c:pt idx="8">
                  <c:v>Protección del medio ambiente </c:v>
                </c:pt>
                <c:pt idx="9">
                  <c:v>Defensa </c:v>
                </c:pt>
              </c:strCache>
            </c:strRef>
          </c:cat>
          <c:val>
            <c:numRef>
              <c:f>Hoja1!$C$2:$C$11</c:f>
              <c:numCache>
                <c:formatCode>_-* #,##0.0_-;\-* #,##0.0_-;_-* "-"??_-;_-@_-</c:formatCode>
                <c:ptCount val="10"/>
                <c:pt idx="0">
                  <c:v>925.31998222999937</c:v>
                </c:pt>
                <c:pt idx="1">
                  <c:v>203.72577663999982</c:v>
                </c:pt>
                <c:pt idx="2">
                  <c:v>1182.9230265000006</c:v>
                </c:pt>
                <c:pt idx="3">
                  <c:v>1478.6767228899989</c:v>
                </c:pt>
                <c:pt idx="4">
                  <c:v>577.32106182999996</c:v>
                </c:pt>
                <c:pt idx="5">
                  <c:v>832.77289535999989</c:v>
                </c:pt>
                <c:pt idx="6">
                  <c:v>-5.419001599999774</c:v>
                </c:pt>
                <c:pt idx="7">
                  <c:v>97.271970729999907</c:v>
                </c:pt>
                <c:pt idx="8">
                  <c:v>73.557972240000026</c:v>
                </c:pt>
                <c:pt idx="9">
                  <c:v>317.18780089999996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D54-4E08-A47A-DB0E13A836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1170388288"/>
        <c:axId val="1181658512"/>
      </c:barChart>
      <c:catAx>
        <c:axId val="117038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181658512"/>
        <c:crosses val="autoZero"/>
        <c:auto val="1"/>
        <c:lblAlgn val="ctr"/>
        <c:lblOffset val="100"/>
        <c:noMultiLvlLbl val="0"/>
      </c:catAx>
      <c:valAx>
        <c:axId val="1181658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17038828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913631837107452"/>
          <c:y val="0.15522068043381371"/>
          <c:w val="9.2958543888412404E-2"/>
          <c:h val="6.57793003863242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legend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Ingresos Totales por clasificación MEFP</a:t>
            </a:r>
          </a:p>
          <a:p>
            <a:pPr>
              <a:defRPr/>
            </a:pPr>
            <a:r>
              <a:rPr lang="en-US" sz="1100" b="1">
                <a:solidFill>
                  <a:sysClr val="windowText" lastClr="000000"/>
                </a:solidFill>
              </a:rPr>
              <a:t>Variación interanual acumulada a junio</a:t>
            </a:r>
            <a:r>
              <a:rPr lang="en-US" sz="1100" b="1" baseline="0">
                <a:solidFill>
                  <a:sysClr val="windowText" lastClr="000000"/>
                </a:solidFill>
              </a:rPr>
              <a:t> </a:t>
            </a:r>
            <a:r>
              <a:rPr lang="en-US" sz="1100" b="1">
                <a:solidFill>
                  <a:sysClr val="windowText" lastClr="000000"/>
                </a:solidFill>
              </a:rPr>
              <a:t>2023*</a:t>
            </a:r>
          </a:p>
          <a:p>
            <a:pPr>
              <a:defRPr/>
            </a:pPr>
            <a:r>
              <a:rPr lang="en-US" sz="1000" b="0">
                <a:solidFill>
                  <a:sysClr val="windowText" lastClr="000000"/>
                </a:solidFill>
              </a:rPr>
              <a:t>En millones de Quetzales</a:t>
            </a:r>
          </a:p>
        </c:rich>
      </c:tx>
      <c:layout>
        <c:manualLayout>
          <c:xMode val="edge"/>
          <c:yMode val="edge"/>
          <c:x val="0.2625413209992732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4.0408336877924285E-2"/>
          <c:y val="0.29140255058479136"/>
          <c:w val="0.94778901254952663"/>
          <c:h val="0.59422770948812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Diferencia acumulada en Q</c:v>
                </c:pt>
              </c:strCache>
            </c:strRef>
          </c:tx>
          <c:spPr>
            <a:solidFill>
              <a:srgbClr val="4F6228"/>
            </a:solidFill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1"/>
          <c:dPt>
            <c:idx val="0"/>
            <c:invertIfNegative val="1"/>
            <c:bubble3D val="0"/>
            <c:spPr>
              <a:solidFill>
                <a:schemeClr val="accent3">
                  <a:lumMod val="50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E98-45B9-BB85-2A9E49D1FDE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E98-45B9-BB85-2A9E49D1FDE5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E98-45B9-BB85-2A9E49D1FDE5}"/>
              </c:ext>
            </c:extLst>
          </c:dPt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8E98-45B9-BB85-2A9E49D1FD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Impuestos </c:v>
                </c:pt>
                <c:pt idx="1">
                  <c:v>Contribuciones sociales </c:v>
                </c:pt>
                <c:pt idx="2">
                  <c:v>Otros ingresos </c:v>
                </c:pt>
                <c:pt idx="3">
                  <c:v>Donaciones </c:v>
                </c:pt>
                <c:pt idx="4">
                  <c:v>Ingresos Totales</c:v>
                </c:pt>
              </c:strCache>
            </c:strRef>
          </c:cat>
          <c:val>
            <c:numRef>
              <c:f>Hoja1!$B$2:$B$6</c:f>
              <c:numCache>
                <c:formatCode>#,##0.0_ ;[Red]\-#,##0.0\ </c:formatCode>
                <c:ptCount val="5"/>
                <c:pt idx="0">
                  <c:v>4085.9100119900104</c:v>
                </c:pt>
                <c:pt idx="1">
                  <c:v>1346.489534530001</c:v>
                </c:pt>
                <c:pt idx="2">
                  <c:v>517.6771860000008</c:v>
                </c:pt>
                <c:pt idx="3">
                  <c:v>-34.77457877000014</c:v>
                </c:pt>
                <c:pt idx="4">
                  <c:v>5915.3021537500117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C0504D"/>
                  </a:solidFill>
                  <a:ln>
                    <a:solidFill>
                      <a:schemeClr val="tx1"/>
                    </a:solidFill>
                  </a:ln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c14:spPr>
              </c14:invertSolidFillFmt>
            </c:ext>
            <c:ext xmlns:c16="http://schemas.microsoft.com/office/drawing/2014/chart" uri="{C3380CC4-5D6E-409C-BE32-E72D297353CC}">
              <c16:uniqueId val="{00000006-8E98-45B9-BB85-2A9E49D1FD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axId val="415018800"/>
        <c:axId val="408568416"/>
      </c:barChart>
      <c:catAx>
        <c:axId val="415018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408568416"/>
        <c:crosses val="autoZero"/>
        <c:auto val="1"/>
        <c:lblAlgn val="ctr"/>
        <c:lblOffset val="100"/>
        <c:noMultiLvlLbl val="0"/>
      </c:catAx>
      <c:valAx>
        <c:axId val="40856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41501880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s-GT" sz="1100" b="1" i="0" baseline="0">
                <a:effectLst/>
              </a:rPr>
              <a:t>Impuestos por clasificación MEFP</a:t>
            </a:r>
            <a:endParaRPr lang="es-GT" sz="1100">
              <a:effectLst/>
            </a:endParaRPr>
          </a:p>
          <a:p>
            <a:pPr>
              <a:defRPr b="0">
                <a:solidFill>
                  <a:sysClr val="windowText" lastClr="000000"/>
                </a:solidFill>
              </a:defRPr>
            </a:pPr>
            <a:r>
              <a:rPr lang="es-GT" sz="900" b="1" i="0" baseline="0">
                <a:effectLst/>
              </a:rPr>
              <a:t>Variación interanual acumulada </a:t>
            </a:r>
          </a:p>
          <a:p>
            <a:pPr>
              <a:defRPr b="0">
                <a:solidFill>
                  <a:sysClr val="windowText" lastClr="000000"/>
                </a:solidFill>
              </a:defRPr>
            </a:pPr>
            <a:r>
              <a:rPr lang="es-GT" sz="900" b="1" i="0" baseline="0">
                <a:effectLst/>
              </a:rPr>
              <a:t>A junio de cada año* </a:t>
            </a:r>
            <a:endParaRPr lang="es-GT" sz="900">
              <a:effectLst/>
            </a:endParaRPr>
          </a:p>
          <a:p>
            <a:pPr>
              <a:defRPr b="0">
                <a:solidFill>
                  <a:sysClr val="windowText" lastClr="000000"/>
                </a:solidFill>
              </a:defRPr>
            </a:pPr>
            <a:r>
              <a:rPr lang="es-GT" sz="1000" b="0" i="0" baseline="0">
                <a:effectLst/>
              </a:rPr>
              <a:t>En millones de quetzales</a:t>
            </a:r>
            <a:endParaRPr lang="es-GT" sz="1000">
              <a:effectLst/>
            </a:endParaRPr>
          </a:p>
        </c:rich>
      </c:tx>
      <c:layout>
        <c:manualLayout>
          <c:xMode val="edge"/>
          <c:yMode val="edge"/>
          <c:x val="0.11980660657118233"/>
          <c:y val="1.507744224279657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.53206955350567453"/>
          <c:y val="0.19157735137476747"/>
          <c:w val="0.34934964456039425"/>
          <c:h val="0.729029890681140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2023*</c:v>
                </c:pt>
              </c:strCache>
            </c:strRef>
          </c:tx>
          <c:spPr>
            <a:solidFill>
              <a:srgbClr val="4BACC6">
                <a:lumMod val="60000"/>
                <a:lumOff val="40000"/>
              </a:srgbClr>
            </a:solidFill>
            <a:ln>
              <a:solidFill>
                <a:sysClr val="windowText" lastClr="000000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1F497D"/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E5F-4C09-B9BD-837B57113284}"/>
              </c:ext>
            </c:extLst>
          </c:dPt>
          <c:dLbls>
            <c:dLbl>
              <c:idx val="0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FE5F-4C09-B9BD-837B5711328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accent5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Hoja1!$A$2:$A$8</c:f>
              <c:strCache>
                <c:ptCount val="7"/>
                <c:pt idx="0">
                  <c:v>Impuestos Totales</c:v>
                </c:pt>
                <c:pt idx="1">
                  <c:v>Impuestos sobre los bienes y servicios </c:v>
                </c:pt>
                <c:pt idx="2">
                  <c:v>Impuestos sobre el ingreso, las utilidades y las ganancias de capital </c:v>
                </c:pt>
                <c:pt idx="3">
                  <c:v>Impuestos sobre el comercio y las transacciones internacionales </c:v>
                </c:pt>
                <c:pt idx="4">
                  <c:v>Impuestos sobre la nómina y la fuerza de trabajo </c:v>
                </c:pt>
                <c:pt idx="5">
                  <c:v>Impuestos sobre la propiedad </c:v>
                </c:pt>
                <c:pt idx="6">
                  <c:v>Otros impuestos </c:v>
                </c:pt>
              </c:strCache>
            </c:strRef>
          </c:cat>
          <c:val>
            <c:numRef>
              <c:f>Hoja1!$B$2:$B$8</c:f>
              <c:numCache>
                <c:formatCode>#,##0.0_ ;[Red]\-#,##0.0\ </c:formatCode>
                <c:ptCount val="7"/>
                <c:pt idx="0" formatCode="_(* #,##0.00_);_(* \(#,##0.00\);_(* &quot;-&quot;??_);_(@_)">
                  <c:v>4085.9100119900031</c:v>
                </c:pt>
                <c:pt idx="1">
                  <c:v>2020.96172897</c:v>
                </c:pt>
                <c:pt idx="2">
                  <c:v>1882.680947390003</c:v>
                </c:pt>
                <c:pt idx="3">
                  <c:v>157.72825489000024</c:v>
                </c:pt>
                <c:pt idx="4">
                  <c:v>30.877670639999963</c:v>
                </c:pt>
                <c:pt idx="5" formatCode="_(* #,##0.00_);_(* \(#,##0.00\);_(* &quot;-&quot;??_);_(@_)">
                  <c:v>1.7424017499999991</c:v>
                </c:pt>
                <c:pt idx="6">
                  <c:v>-8.0809916499999872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5F-4C09-B9BD-837B5711328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EEECE1">
                <a:lumMod val="75000"/>
              </a:srgbClr>
            </a:solidFill>
            <a:ln>
              <a:solidFill>
                <a:sysClr val="windowText" lastClr="000000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EEECE1">
                  <a:lumMod val="50000"/>
                </a:srgbClr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FE5F-4C09-B9BD-837B57113284}"/>
              </c:ext>
            </c:extLst>
          </c:dPt>
          <c:dLbls>
            <c:dLbl>
              <c:idx val="0"/>
              <c:layout>
                <c:manualLayout>
                  <c:x val="0"/>
                  <c:y val="-7.025628667122419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5F-4C09-B9BD-837B5711328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Impuestos Totales</c:v>
                </c:pt>
                <c:pt idx="1">
                  <c:v>Impuestos sobre los bienes y servicios </c:v>
                </c:pt>
                <c:pt idx="2">
                  <c:v>Impuestos sobre el ingreso, las utilidades y las ganancias de capital </c:v>
                </c:pt>
                <c:pt idx="3">
                  <c:v>Impuestos sobre el comercio y las transacciones internacionales </c:v>
                </c:pt>
                <c:pt idx="4">
                  <c:v>Impuestos sobre la nómina y la fuerza de trabajo </c:v>
                </c:pt>
                <c:pt idx="5">
                  <c:v>Impuestos sobre la propiedad </c:v>
                </c:pt>
                <c:pt idx="6">
                  <c:v>Otros impuestos </c:v>
                </c:pt>
              </c:strCache>
            </c:strRef>
          </c:cat>
          <c:val>
            <c:numRef>
              <c:f>Hoja1!$C$2:$C$8</c:f>
              <c:numCache>
                <c:formatCode>_(* #,##0.00_);_(* \(#,##0.00\);_(* "-"??_);_(@_)</c:formatCode>
                <c:ptCount val="7"/>
                <c:pt idx="0">
                  <c:v>6456.6867242799935</c:v>
                </c:pt>
                <c:pt idx="1">
                  <c:v>3472.1038135499948</c:v>
                </c:pt>
                <c:pt idx="2">
                  <c:v>2529.733069259999</c:v>
                </c:pt>
                <c:pt idx="3">
                  <c:v>288.57520011999986</c:v>
                </c:pt>
                <c:pt idx="4">
                  <c:v>20.287764470000013</c:v>
                </c:pt>
                <c:pt idx="5" formatCode="#,##0.0_ ;[Red]\-#,##0.0\ ">
                  <c:v>115.16703102999998</c:v>
                </c:pt>
                <c:pt idx="6">
                  <c:v>30.819845850000036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5F-4C09-B9BD-837B57113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1916956256"/>
        <c:axId val="1924152624"/>
      </c:barChart>
      <c:dateAx>
        <c:axId val="191695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@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8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924152624"/>
        <c:crosses val="autoZero"/>
        <c:auto val="0"/>
        <c:lblOffset val="100"/>
        <c:baseTimeUnit val="days"/>
      </c:dateAx>
      <c:valAx>
        <c:axId val="1924152624"/>
        <c:scaling>
          <c:orientation val="minMax"/>
          <c:max val="10000"/>
        </c:scaling>
        <c:delete val="1"/>
        <c:axPos val="b"/>
        <c:numFmt formatCode="_(* #,##0.00_);_(* \(#,##0.00\);_(* &quot;-&quot;??_);_(@_)" sourceLinked="1"/>
        <c:majorTickMark val="out"/>
        <c:minorTickMark val="none"/>
        <c:tickLblPos val="nextTo"/>
        <c:crossAx val="19169562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69756793206705"/>
          <c:y val="0.18019672298244274"/>
          <c:w val="0.17752709450079315"/>
          <c:h val="6.23517781701397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legend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s-GT" sz="1200"/>
              <a:t>Contribuciones</a:t>
            </a:r>
            <a:r>
              <a:rPr lang="es-GT" sz="1200" baseline="0"/>
              <a:t> Sociales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es-GT" sz="1100" baseline="0"/>
              <a:t>Variación interanual acumulada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es-GT" sz="1000" b="0" baseline="0"/>
              <a:t>En porcentajes</a:t>
            </a:r>
            <a:endParaRPr lang="es-GT" sz="1000" b="0"/>
          </a:p>
        </c:rich>
      </c:tx>
      <c:layout>
        <c:manualLayout>
          <c:xMode val="edge"/>
          <c:yMode val="edge"/>
          <c:x val="0.13473922902494331"/>
          <c:y val="0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5.0673161848705683E-2"/>
          <c:y val="0.21932852143482065"/>
          <c:w val="0.93416876106164515"/>
          <c:h val="0.54696959755030616"/>
        </c:manualLayout>
      </c:layout>
      <c:lineChart>
        <c:grouping val="standard"/>
        <c:varyColors val="0"/>
        <c:ser>
          <c:idx val="2"/>
          <c:order val="0"/>
          <c:tx>
            <c:strRef>
              <c:f>Hoja1!$B$1</c:f>
              <c:strCache>
                <c:ptCount val="1"/>
                <c:pt idx="0">
                  <c:v>2023*</c:v>
                </c:pt>
              </c:strCache>
            </c:strRef>
          </c:tx>
          <c:spPr>
            <a:ln w="31750" cap="rnd">
              <a:solidFill>
                <a:srgbClr val="9BBB59">
                  <a:lumMod val="50000"/>
                </a:srgbClr>
              </a:solidFill>
              <a:round/>
              <a:tailEnd type="triangle"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4"/>
            <c:spPr>
              <a:solidFill>
                <a:srgbClr val="F79646">
                  <a:lumMod val="75000"/>
                </a:srgbClr>
              </a:solidFill>
              <a:ln w="15875">
                <a:solidFill>
                  <a:srgbClr val="002060"/>
                </a:solidFill>
                <a:round/>
              </a:ln>
              <a:effectLst/>
            </c:spPr>
          </c:marker>
          <c:dLbls>
            <c:spPr>
              <a:solidFill>
                <a:sysClr val="window" lastClr="FFFFFF"/>
              </a:solidFill>
              <a:ln w="9525" cap="flat" cmpd="sng" algn="ctr">
                <a:solidFill>
                  <a:srgbClr val="9BBB59"/>
                </a:solidFill>
                <a:prstDash val="solid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Hoja1!$B$2:$B$7</c:f>
              <c:numCache>
                <c:formatCode>#,##0.0_ ;[Red]\-#,##0.0\ </c:formatCode>
                <c:ptCount val="6"/>
                <c:pt idx="0">
                  <c:v>10.548315897590953</c:v>
                </c:pt>
                <c:pt idx="1">
                  <c:v>13.750099208089917</c:v>
                </c:pt>
                <c:pt idx="2">
                  <c:v>15.374569995822229</c:v>
                </c:pt>
                <c:pt idx="3">
                  <c:v>14.686364842784094</c:v>
                </c:pt>
                <c:pt idx="4">
                  <c:v>14.585986659781213</c:v>
                </c:pt>
                <c:pt idx="5">
                  <c:v>14.231519780804391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4-297C-418C-9E95-E7036CD84A2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2022</c:v>
                </c:pt>
              </c:strCache>
            </c:strRef>
          </c:tx>
          <c:spPr>
            <a:ln w="22225" cap="rnd">
              <a:solidFill>
                <a:srgbClr val="C00000"/>
              </a:solidFill>
              <a:prstDash val="dash"/>
              <a:round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marker>
            <c:symbol val="triangle"/>
            <c:size val="4"/>
            <c:spPr>
              <a:solidFill>
                <a:srgbClr val="1F497D"/>
              </a:solidFill>
              <a:ln w="15875">
                <a:solidFill>
                  <a:sysClr val="windowText" lastClr="000000"/>
                </a:solidFill>
                <a:round/>
              </a:ln>
              <a:effectLst/>
            </c:spPr>
          </c:marker>
          <c:dLbls>
            <c:spPr>
              <a:solidFill>
                <a:sysClr val="window" lastClr="FFFFFF"/>
              </a:solidFill>
              <a:ln w="9525" cap="flat" cmpd="sng" algn="ctr">
                <a:solidFill>
                  <a:srgbClr val="C0504D"/>
                </a:solidFill>
                <a:prstDash val="solid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Hoja1!$C$2:$C$7</c:f>
              <c:numCache>
                <c:formatCode>#,##0.0_ ;[Red]\-#,##0.0\ </c:formatCode>
                <c:ptCount val="6"/>
                <c:pt idx="0">
                  <c:v>5.5471286361882921</c:v>
                </c:pt>
                <c:pt idx="1">
                  <c:v>6.9022362929650027</c:v>
                </c:pt>
                <c:pt idx="2">
                  <c:v>5.3020196016226873</c:v>
                </c:pt>
                <c:pt idx="3">
                  <c:v>5.4948151546662549</c:v>
                </c:pt>
                <c:pt idx="4">
                  <c:v>5.7258737629836354</c:v>
                </c:pt>
                <c:pt idx="5">
                  <c:v>6.1498303215814953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297C-418C-9E95-E7036CD84A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9281743"/>
        <c:axId val="344873055"/>
      </c:lineChart>
      <c:catAx>
        <c:axId val="15092817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344873055"/>
        <c:crosses val="autoZero"/>
        <c:auto val="1"/>
        <c:lblAlgn val="ctr"/>
        <c:lblOffset val="100"/>
        <c:noMultiLvlLbl val="0"/>
      </c:catAx>
      <c:valAx>
        <c:axId val="344873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09281743"/>
        <c:crosses val="autoZero"/>
        <c:crossBetween val="between"/>
        <c:majorUnit val="5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.83284288369063342"/>
          <c:w val="0.29022979270448335"/>
          <c:h val="0.151984309443071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legend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ln>
                  <a:noFill/>
                </a:ln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 b="1" i="0" baseline="0">
                <a:solidFill>
                  <a:sysClr val="windowText" lastClr="000000"/>
                </a:solidFill>
                <a:effectLst/>
              </a:rPr>
              <a:t>Gasto Total</a:t>
            </a:r>
            <a:endParaRPr lang="es-GT" sz="1100" b="1">
              <a:solidFill>
                <a:sysClr val="windowText" lastClr="000000"/>
              </a:solidFill>
              <a:effectLst/>
            </a:endParaRPr>
          </a:p>
          <a:p>
            <a:pPr>
              <a:defRPr>
                <a:ln>
                  <a:noFill/>
                </a:ln>
              </a:defRPr>
            </a:pPr>
            <a:r>
              <a:rPr lang="en-US" sz="1050" b="1" i="0" baseline="0">
                <a:solidFill>
                  <a:sysClr val="windowText" lastClr="000000"/>
                </a:solidFill>
                <a:effectLst/>
              </a:rPr>
              <a:t>Variación internanual acumulada</a:t>
            </a:r>
            <a:endParaRPr lang="es-GT" sz="1050" b="1">
              <a:solidFill>
                <a:sysClr val="windowText" lastClr="000000"/>
              </a:solidFill>
              <a:effectLst/>
            </a:endParaRPr>
          </a:p>
          <a:p>
            <a:pPr>
              <a:defRPr>
                <a:ln>
                  <a:noFill/>
                </a:ln>
              </a:defRPr>
            </a:pPr>
            <a:r>
              <a:rPr lang="en-US" sz="1000" b="0" i="0" baseline="0">
                <a:solidFill>
                  <a:sysClr val="windowText" lastClr="000000"/>
                </a:solidFill>
                <a:effectLst/>
              </a:rPr>
              <a:t>En porcentaje</a:t>
            </a:r>
            <a:endParaRPr lang="es-GT" sz="10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596078431372548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ln>
                <a:noFill/>
              </a:ln>
              <a:solidFill>
                <a:schemeClr val="dk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24222527663116999"/>
          <c:w val="0.98959481325520382"/>
          <c:h val="0.56450839432515865"/>
        </c:manualLayout>
      </c:layout>
      <c:barChart>
        <c:barDir val="col"/>
        <c:grouping val="clustered"/>
        <c:varyColors val="0"/>
        <c:ser>
          <c:idx val="0"/>
          <c:order val="1"/>
          <c:tx>
            <c:strRef>
              <c:f>Hoja1!$C$1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  <a:ln w="9525" cap="flat" cmpd="sng" algn="ctr">
              <a:solidFill>
                <a:sysClr val="windowText" lastClr="000000"/>
              </a:solidFill>
              <a:round/>
              <a:tailEnd type="triangle"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1"/>
              <c:layout>
                <c:manualLayout>
                  <c:x val="0"/>
                  <c:y val="1.85528756957328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15A-47B3-BCCE-FC305F958D06}"/>
                </c:ext>
              </c:extLst>
            </c:dLbl>
            <c:dLbl>
              <c:idx val="3"/>
              <c:layout>
                <c:manualLayout>
                  <c:x val="-6.5215377489578506E-3"/>
                  <c:y val="2.49830157368942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5A-47B3-BCCE-FC305F958D06}"/>
                </c:ext>
              </c:extLst>
            </c:dLbl>
            <c:dLbl>
              <c:idx val="4"/>
              <c:layout>
                <c:manualLayout>
                  <c:x val="-4.3284785480246345E-3"/>
                  <c:y val="-3.15940705431623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5A-47B3-BCCE-FC305F958D06}"/>
                </c:ext>
              </c:extLst>
            </c:dLbl>
            <c:spPr>
              <a:noFill/>
              <a:ln w="25400" cap="flat" cmpd="sng" algn="ctr">
                <a:noFill/>
                <a:prstDash val="solid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accent5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Hoja1!$C$2:$C$7</c:f>
              <c:numCache>
                <c:formatCode>_-* #,##0.0_-;\-* #,##0.0_-;_-* "-"??_-;_-@_-</c:formatCode>
                <c:ptCount val="6"/>
                <c:pt idx="0">
                  <c:v>5.2151936584615699</c:v>
                </c:pt>
                <c:pt idx="1">
                  <c:v>12.709860498643799</c:v>
                </c:pt>
                <c:pt idx="2">
                  <c:v>14.592577666537609</c:v>
                </c:pt>
                <c:pt idx="3">
                  <c:v>9.913626406756304</c:v>
                </c:pt>
                <c:pt idx="4">
                  <c:v>11.107055572537483</c:v>
                </c:pt>
                <c:pt idx="5">
                  <c:v>12.522345326416229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5A-47B3-BCCE-FC305F958D0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3"/>
        <c:axId val="1509281743"/>
        <c:axId val="344873055"/>
      </c:barChart>
      <c:lineChart>
        <c:grouping val="standard"/>
        <c:varyColors val="0"/>
        <c:ser>
          <c:idx val="2"/>
          <c:order val="0"/>
          <c:tx>
            <c:strRef>
              <c:f>Hoja1!$B$1</c:f>
              <c:strCache>
                <c:ptCount val="1"/>
                <c:pt idx="0">
                  <c:v>2023*</c:v>
                </c:pt>
              </c:strCache>
            </c:strRef>
          </c:tx>
          <c:spPr>
            <a:ln w="31750" cap="rnd" cmpd="sng" algn="ctr">
              <a:solidFill>
                <a:srgbClr val="9BBB59"/>
              </a:solidFill>
              <a:round/>
              <a:tailEnd type="triangle"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marker>
            <c:symbol val="diamond"/>
            <c:size val="7"/>
            <c:spPr>
              <a:solidFill>
                <a:srgbClr val="C0504D"/>
              </a:solidFill>
              <a:ln w="9525" cap="flat" cmpd="sng" algn="ctr">
                <a:solidFill>
                  <a:srgbClr val="9BBB59">
                    <a:lumMod val="50000"/>
                  </a:srgbClr>
                </a:solidFill>
                <a:round/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marker>
          <c:dPt>
            <c:idx val="8"/>
            <c:marker>
              <c:symbol val="diamond"/>
              <c:size val="7"/>
              <c:spPr>
                <a:solidFill>
                  <a:srgbClr val="C0504D"/>
                </a:solidFill>
                <a:ln w="9525" cap="flat" cmpd="sng" algn="ctr">
                  <a:solidFill>
                    <a:srgbClr val="9BBB59">
                      <a:lumMod val="50000"/>
                    </a:srgbClr>
                  </a:solidFill>
                  <a:round/>
                </a:ln>
                <a:effectLst>
                  <a:outerShdw blurRad="50800" dist="38100" dir="18900000" algn="bl" rotWithShape="0">
                    <a:prstClr val="black">
                      <a:alpha val="40000"/>
                    </a:prst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D15A-47B3-BCCE-FC305F958D06}"/>
              </c:ext>
            </c:extLst>
          </c:dPt>
          <c:dPt>
            <c:idx val="11"/>
            <c:marker>
              <c:symbol val="diamond"/>
              <c:size val="7"/>
              <c:spPr>
                <a:solidFill>
                  <a:srgbClr val="C0504D"/>
                </a:solidFill>
                <a:ln w="9525" cap="flat" cmpd="sng" algn="ctr">
                  <a:solidFill>
                    <a:srgbClr val="9BBB59">
                      <a:lumMod val="50000"/>
                    </a:srgbClr>
                  </a:solidFill>
                  <a:round/>
                </a:ln>
                <a:effectLst>
                  <a:outerShdw blurRad="50800" dist="38100" dir="18900000" algn="bl" rotWithShape="0">
                    <a:prstClr val="black">
                      <a:alpha val="40000"/>
                    </a:prst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D15A-47B3-BCCE-FC305F958D06}"/>
              </c:ext>
            </c:extLst>
          </c:dPt>
          <c:dLbls>
            <c:spPr>
              <a:gradFill rotWithShape="1">
                <a:gsLst>
                  <a:gs pos="0">
                    <a:srgbClr val="9BBB59">
                      <a:shade val="51000"/>
                      <a:satMod val="130000"/>
                    </a:srgbClr>
                  </a:gs>
                  <a:gs pos="80000">
                    <a:srgbClr val="9BBB59">
                      <a:shade val="93000"/>
                      <a:satMod val="130000"/>
                    </a:srgbClr>
                  </a:gs>
                  <a:gs pos="100000">
                    <a:srgbClr val="9BBB59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Hoja1!$B$2:$B$7</c:f>
              <c:numCache>
                <c:formatCode>_-* #,##0.0_-;\-* #,##0.0_-;_-* "-"??_-;_-@_-</c:formatCode>
                <c:ptCount val="6"/>
                <c:pt idx="0">
                  <c:v>11.557826724865272</c:v>
                </c:pt>
                <c:pt idx="1">
                  <c:v>16.598669477555461</c:v>
                </c:pt>
                <c:pt idx="2">
                  <c:v>19.207512917617777</c:v>
                </c:pt>
                <c:pt idx="3">
                  <c:v>20.887702524515596</c:v>
                </c:pt>
                <c:pt idx="4">
                  <c:v>19.12361805920608</c:v>
                </c:pt>
                <c:pt idx="5">
                  <c:v>17.871671285316747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D15A-47B3-BCCE-FC305F958D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9281743"/>
        <c:axId val="344873055"/>
      </c:lineChart>
      <c:catAx>
        <c:axId val="15092817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344873055"/>
        <c:crosses val="autoZero"/>
        <c:auto val="1"/>
        <c:lblAlgn val="ctr"/>
        <c:lblOffset val="100"/>
        <c:noMultiLvlLbl val="0"/>
      </c:catAx>
      <c:valAx>
        <c:axId val="344873055"/>
        <c:scaling>
          <c:orientation val="minMax"/>
        </c:scaling>
        <c:delete val="0"/>
        <c:axPos val="l"/>
        <c:numFmt formatCode="#,##0_ ;[Red]\-#,##0\ 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09281743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4805876243069447"/>
          <c:y val="0.87692041741535554"/>
          <c:w val="0.24923948135960339"/>
          <c:h val="9.04008793772573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legend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 i="0" baseline="0">
                <a:effectLst/>
              </a:rPr>
              <a:t>Gasto Total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1100" b="1" i="0" baseline="0">
                <a:effectLst/>
              </a:rPr>
              <a:t>Variación interanual acumulada a junio 2023*</a:t>
            </a:r>
            <a:endParaRPr lang="es-GT" sz="1100">
              <a:effectLst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1000" b="0" i="0" baseline="0">
                <a:effectLst/>
              </a:rPr>
              <a:t>En millones de Quetzales</a:t>
            </a:r>
            <a:endParaRPr lang="es-GT" sz="1000">
              <a:effectLst/>
            </a:endParaRPr>
          </a:p>
        </c:rich>
      </c:tx>
      <c:layout>
        <c:manualLayout>
          <c:xMode val="edge"/>
          <c:yMode val="edge"/>
          <c:x val="0.22680365959280216"/>
          <c:y val="9.43396226415094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2.26094602496296E-2"/>
          <c:y val="0.22652893955353312"/>
          <c:w val="0.960252882962494"/>
          <c:h val="0.567308061476415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2023*</c:v>
                </c:pt>
              </c:strCache>
            </c:strRef>
          </c:tx>
          <c:spPr>
            <a:solidFill>
              <a:srgbClr val="77933C"/>
            </a:solidFill>
            <a:ln>
              <a:solidFill>
                <a:sysClr val="windowText" lastClr="000000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1"/>
          <c:dPt>
            <c:idx val="0"/>
            <c:invertIfNegative val="0"/>
            <c:bubble3D val="0"/>
            <c:spPr>
              <a:solidFill>
                <a:srgbClr val="4BACC6"/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B3B0-453A-8B27-1D11CE3EF81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B3B0-453A-8B27-1D11CE3EF811}"/>
                </c:ext>
              </c:extLst>
            </c:dLbl>
            <c:dLbl>
              <c:idx val="7"/>
              <c:layout>
                <c:manualLayout>
                  <c:x val="0"/>
                  <c:y val="1.2405705554215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B0-453A-8B27-1D11CE3EF8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Gasto total</c:v>
                </c:pt>
                <c:pt idx="1">
                  <c:v>Uso de bienes y servicios  </c:v>
                </c:pt>
                <c:pt idx="2">
                  <c:v>Remuneración a los empleados </c:v>
                </c:pt>
                <c:pt idx="3">
                  <c:v>Otros gastos </c:v>
                </c:pt>
                <c:pt idx="4">
                  <c:v>Prestaciones sociales </c:v>
                </c:pt>
                <c:pt idx="5">
                  <c:v>Intereses </c:v>
                </c:pt>
                <c:pt idx="6">
                  <c:v>Donaciones </c:v>
                </c:pt>
                <c:pt idx="7">
                  <c:v>Subsidios </c:v>
                </c:pt>
              </c:strCache>
            </c:strRef>
          </c:cat>
          <c:val>
            <c:numRef>
              <c:f>Hoja1!$B$2:$B$9</c:f>
              <c:numCache>
                <c:formatCode>#,##0.0_ ;[Red]\-#,##0.0\ </c:formatCode>
                <c:ptCount val="8"/>
                <c:pt idx="0">
                  <c:v>9699.3319325100001</c:v>
                </c:pt>
                <c:pt idx="1">
                  <c:v>4327.2600961400003</c:v>
                </c:pt>
                <c:pt idx="2">
                  <c:v>3003.3115014499999</c:v>
                </c:pt>
                <c:pt idx="3">
                  <c:v>1024.6514866999996</c:v>
                </c:pt>
                <c:pt idx="4">
                  <c:v>938.04876434000016</c:v>
                </c:pt>
                <c:pt idx="5">
                  <c:v>498.04075781000029</c:v>
                </c:pt>
                <c:pt idx="6">
                  <c:v>-91.98067393000025</c:v>
                </c:pt>
                <c:pt idx="7">
                  <c:v>-1088.0434538099998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  <a:ln>
                    <a:solidFill>
                      <a:sysClr val="windowText" lastClr="000000"/>
                    </a:solidFill>
                  </a:ln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  <a:scene3d>
                    <a:camera prst="orthographicFront"/>
                    <a:lightRig rig="threePt" dir="t">
                      <a:rot lat="0" lon="0" rev="1200000"/>
                    </a:lightRig>
                  </a:scene3d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3-B3B0-453A-8B27-1D11CE3EF8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96122768"/>
        <c:axId val="317412256"/>
      </c:barChart>
      <c:catAx>
        <c:axId val="596122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@" sourceLinked="0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317412256"/>
        <c:crosses val="autoZero"/>
        <c:auto val="0"/>
        <c:lblAlgn val="ctr"/>
        <c:lblOffset val="100"/>
        <c:noMultiLvlLbl val="0"/>
      </c:catAx>
      <c:valAx>
        <c:axId val="317412256"/>
        <c:scaling>
          <c:orientation val="minMax"/>
        </c:scaling>
        <c:delete val="1"/>
        <c:axPos val="l"/>
        <c:numFmt formatCode="#,##0.0_ ;[Red]\-#,##0.0\ " sourceLinked="1"/>
        <c:majorTickMark val="none"/>
        <c:minorTickMark val="none"/>
        <c:tickLblPos val="nextTo"/>
        <c:crossAx val="596122768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56000">
              <a:schemeClr val="bg1">
                <a:lumMod val="95000"/>
              </a:schemeClr>
            </a:gs>
            <a:gs pos="100000">
              <a:schemeClr val="bg1"/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4">
    <c:autoUpdate val="0"/>
  </c:externalData>
  <c:userShapes r:id="rId5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sz="1200" b="1" i="0" baseline="0">
                <a:solidFill>
                  <a:sysClr val="windowText" lastClr="000000"/>
                </a:solidFill>
                <a:effectLst/>
              </a:rPr>
              <a:t>Inversión bruta en activos no financieros</a:t>
            </a:r>
            <a:endParaRPr lang="es-GT" sz="1200">
              <a:solidFill>
                <a:sysClr val="windowText" lastClr="000000"/>
              </a:solidFill>
              <a:effectLst/>
            </a:endParaRPr>
          </a:p>
          <a:p>
            <a:pPr>
              <a:defRPr/>
            </a:pPr>
            <a:r>
              <a:rPr lang="en-US" sz="1050" b="1" i="0" baseline="0">
                <a:solidFill>
                  <a:sysClr val="windowText" lastClr="000000"/>
                </a:solidFill>
                <a:effectLst/>
              </a:rPr>
              <a:t>Cifra acumulada a junio de cada año</a:t>
            </a:r>
            <a:endParaRPr lang="es-GT" sz="1050">
              <a:solidFill>
                <a:sysClr val="windowText" lastClr="000000"/>
              </a:solidFill>
              <a:effectLst/>
            </a:endParaRPr>
          </a:p>
          <a:p>
            <a:pPr>
              <a:defRPr/>
            </a:pPr>
            <a:r>
              <a:rPr lang="en-US" sz="1000" b="0" i="0" baseline="0">
                <a:solidFill>
                  <a:sysClr val="windowText" lastClr="000000"/>
                </a:solidFill>
                <a:effectLst/>
              </a:rPr>
              <a:t>En millones de Quetzales</a:t>
            </a:r>
            <a:endParaRPr lang="es-GT" sz="10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466727876040544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20071204737687723"/>
          <c:w val="1"/>
          <c:h val="0.579355937379665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Inversión neta/bruta en activos no financieros 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>
              <a:solidFill>
                <a:sysClr val="windowText" lastClr="000000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Hoja1!$B$1:$F$1</c:f>
              <c:strCache>
                <c:ptCount val="5"/>
                <c:pt idx="0">
                  <c:v>2023*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strCache>
            </c:strRef>
          </c:cat>
          <c:val>
            <c:numRef>
              <c:f>Hoja1!$B$2:$F$2</c:f>
              <c:numCache>
                <c:formatCode>#,##0.0_ ;[Red]\-#,##0.0\ </c:formatCode>
                <c:ptCount val="5"/>
                <c:pt idx="0">
                  <c:v>8597.0798721599986</c:v>
                </c:pt>
                <c:pt idx="1">
                  <c:v>6237.8579605499999</c:v>
                </c:pt>
                <c:pt idx="2">
                  <c:v>5916.8360659</c:v>
                </c:pt>
                <c:pt idx="3">
                  <c:v>4330.4902429499998</c:v>
                </c:pt>
                <c:pt idx="4">
                  <c:v>6265.9423702900003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F7-4409-B6F7-70C99837FA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557017296"/>
        <c:axId val="470887616"/>
      </c:barChart>
      <c:catAx>
        <c:axId val="1557017296"/>
        <c:scaling>
          <c:orientation val="maxMin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470887616"/>
        <c:crosses val="autoZero"/>
        <c:auto val="1"/>
        <c:lblAlgn val="ctr"/>
        <c:lblOffset val="100"/>
        <c:noMultiLvlLbl val="0"/>
      </c:catAx>
      <c:valAx>
        <c:axId val="470887616"/>
        <c:scaling>
          <c:orientation val="minMax"/>
        </c:scaling>
        <c:delete val="1"/>
        <c:axPos val="r"/>
        <c:numFmt formatCode="#,##0.0_ ;[Red]\-#,##0.0\ " sourceLinked="1"/>
        <c:majorTickMark val="none"/>
        <c:minorTickMark val="none"/>
        <c:tickLblPos val="nextTo"/>
        <c:crossAx val="155701729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4">
    <c:autoUpdate val="0"/>
  </c:externalData>
  <c:userShapes r:id="rId5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s-GT"/>
              <a:t>Flujo</a:t>
            </a:r>
            <a:r>
              <a:rPr lang="es-GT" baseline="0"/>
              <a:t> mensual  </a:t>
            </a:r>
          </a:p>
        </c:rich>
      </c:tx>
      <c:layout>
        <c:manualLayout>
          <c:xMode val="edge"/>
          <c:yMode val="edge"/>
          <c:x val="0.381879044856059"/>
          <c:y val="3.682551890094241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cap="none" spc="0" normalizeH="0" baseline="0">
              <a:solidFill>
                <a:schemeClr val="tx1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11162374305930002"/>
          <c:w val="0.97198739067860607"/>
          <c:h val="0.599694177015118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Adquicición neta de activos financieros</c:v>
                </c:pt>
              </c:strCache>
            </c:strRef>
          </c:tx>
          <c:spPr>
            <a:solidFill>
              <a:srgbClr val="9BBB59"/>
            </a:solidFill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1"/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0-0DB0-4C32-8D4C-164597FE9E8F}"/>
              </c:ext>
            </c:extLst>
          </c:dPt>
          <c:dPt>
            <c:idx val="6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1-0DB0-4C32-8D4C-164597FE9E8F}"/>
              </c:ext>
            </c:extLst>
          </c:dPt>
          <c:dPt>
            <c:idx val="9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0DB0-4C32-8D4C-164597FE9E8F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0DB0-4C32-8D4C-164597FE9E8F}"/>
              </c:ext>
            </c:extLst>
          </c:dPt>
          <c:dLbls>
            <c:dLbl>
              <c:idx val="0"/>
              <c:layout>
                <c:manualLayout>
                  <c:x val="0"/>
                  <c:y val="1.5261350629530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B0-4C32-8D4C-164597FE9E8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DB0-4C32-8D4C-164597FE9E8F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B0-4C32-8D4C-164597FE9E8F}"/>
                </c:ext>
              </c:extLst>
            </c:dLbl>
            <c:dLbl>
              <c:idx val="3"/>
              <c:layout>
                <c:manualLayout>
                  <c:x val="0"/>
                  <c:y val="-2.79356742717667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B0-4C32-8D4C-164597FE9E8F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DB0-4C32-8D4C-164597FE9E8F}"/>
                </c:ext>
              </c:extLst>
            </c:dLbl>
            <c:dLbl>
              <c:idx val="5"/>
              <c:layout>
                <c:manualLayout>
                  <c:x val="0"/>
                  <c:y val="2.5062666957535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DB0-4C32-8D4C-164597FE9E8F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B0-4C32-8D4C-164597FE9E8F}"/>
                </c:ext>
              </c:extLst>
            </c:dLbl>
            <c:dLbl>
              <c:idx val="7"/>
              <c:layout>
                <c:manualLayout>
                  <c:x val="-7.0471349404377432E-17"/>
                  <c:y val="-1.3532903534675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DB0-4C32-8D4C-164597FE9E8F}"/>
                </c:ext>
              </c:extLst>
            </c:dLbl>
            <c:dLbl>
              <c:idx val="8"/>
              <c:layout>
                <c:manualLayout>
                  <c:x val="4.4632033911386681E-3"/>
                  <c:y val="2.0484409632952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DB0-4C32-8D4C-164597FE9E8F}"/>
                </c:ext>
              </c:extLst>
            </c:dLbl>
            <c:dLbl>
              <c:idx val="9"/>
              <c:layout>
                <c:manualLayout>
                  <c:x val="0"/>
                  <c:y val="1.41813668640257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B0-4C32-8D4C-164597FE9E8F}"/>
                </c:ext>
              </c:extLst>
            </c:dLbl>
            <c:dLbl>
              <c:idx val="10"/>
              <c:layout>
                <c:manualLayout>
                  <c:x val="0"/>
                  <c:y val="1.52613506295307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DB0-4C32-8D4C-164597FE9E8F}"/>
                </c:ext>
              </c:extLst>
            </c:dLbl>
            <c:dLbl>
              <c:idx val="11"/>
              <c:layout>
                <c:manualLayout>
                  <c:x val="-7.68787238131847E-3"/>
                  <c:y val="1.196868807068121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DB0-4C32-8D4C-164597FE9E8F}"/>
                </c:ext>
              </c:extLst>
            </c:dLbl>
            <c:dLbl>
              <c:idx val="12"/>
              <c:layout>
                <c:manualLayout>
                  <c:x val="3.843936190659094E-3"/>
                  <c:y val="5.1718542489993524E-3"/>
                </c:manualLayout>
              </c:layout>
              <c:numFmt formatCode="#,##0.0_ ;[Red]\-#,##0.0\ 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644628099173556E-2"/>
                      <c:h val="5.78778135048231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0DB0-4C32-8D4C-164597FE9E8F}"/>
                </c:ext>
              </c:extLst>
            </c:dLbl>
            <c:numFmt formatCode="#,##0.0_ ;[Red]\-#,##0.0\ 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Hoja1!$B$1:$H$1</c:f>
              <c:strCache>
                <c:ptCount val="7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Total</c:v>
                </c:pt>
              </c:strCache>
            </c:strRef>
          </c:cat>
          <c:val>
            <c:numRef>
              <c:f>Hoja1!$B$2:$H$2</c:f>
              <c:numCache>
                <c:formatCode>#,##0.00</c:formatCode>
                <c:ptCount val="7"/>
                <c:pt idx="0">
                  <c:v>2369.1941812700002</c:v>
                </c:pt>
                <c:pt idx="1">
                  <c:v>-1820.8318410299999</c:v>
                </c:pt>
                <c:pt idx="2">
                  <c:v>-1598.5858270799999</c:v>
                </c:pt>
                <c:pt idx="3">
                  <c:v>-1137.97991871</c:v>
                </c:pt>
                <c:pt idx="4">
                  <c:v>-20.64784825000002</c:v>
                </c:pt>
                <c:pt idx="5">
                  <c:v>5870.4376890899994</c:v>
                </c:pt>
                <c:pt idx="6">
                  <c:v>3661.5864352899994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E6B9B8"/>
                  </a:solidFill>
                  <a:ln>
                    <a:solidFill>
                      <a:schemeClr val="tx1"/>
                    </a:solidFill>
                  </a:ln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c14:spPr>
              </c14:invertSolidFillFmt>
            </c:ext>
            <c:ext xmlns:c16="http://schemas.microsoft.com/office/drawing/2014/chart" uri="{C3380CC4-5D6E-409C-BE32-E72D297353CC}">
              <c16:uniqueId val="{0000000E-0DB0-4C32-8D4C-164597FE9E8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3"/>
        <c:overlap val="7"/>
        <c:axId val="152970912"/>
        <c:axId val="152969984"/>
      </c:barChart>
      <c:catAx>
        <c:axId val="152970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2969984"/>
        <c:crosses val="autoZero"/>
        <c:auto val="1"/>
        <c:lblAlgn val="ctr"/>
        <c:lblOffset val="100"/>
        <c:noMultiLvlLbl val="0"/>
      </c:catAx>
      <c:valAx>
        <c:axId val="152969984"/>
        <c:scaling>
          <c:orientation val="minMax"/>
        </c:scaling>
        <c:delete val="1"/>
        <c:axPos val="l"/>
        <c:numFmt formatCode="#,##0_ ;[Red]\-#,##0\ " sourceLinked="0"/>
        <c:majorTickMark val="out"/>
        <c:minorTickMark val="none"/>
        <c:tickLblPos val="nextTo"/>
        <c:crossAx val="152970912"/>
        <c:crosses val="autoZero"/>
        <c:crossBetween val="between"/>
      </c:valAx>
      <c:spPr>
        <a:pattFill prst="ltDnDiag">
          <a:fgClr>
            <a:srgbClr val="000000">
              <a:alpha val="0"/>
            </a:srgbClr>
          </a:fgClr>
          <a:bgClr>
            <a:srgbClr val="FFFFFF"/>
          </a:bgClr>
        </a:pattFill>
        <a:ln w="25400">
          <a:noFill/>
        </a:ln>
        <a:effectLst/>
      </c:spPr>
    </c:plotArea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s-GT" sz="1000"/>
              <a:t>Por</a:t>
            </a:r>
            <a:r>
              <a:rPr lang="es-GT" sz="1000" baseline="0"/>
              <a:t> tipo de instrumento</a:t>
            </a:r>
          </a:p>
          <a:p>
            <a:pPr>
              <a:defRPr b="1">
                <a:solidFill>
                  <a:schemeClr val="tx1"/>
                </a:solidFill>
              </a:defRPr>
            </a:pPr>
            <a:r>
              <a:rPr lang="es-GT" sz="1000" baseline="0"/>
              <a:t>Cifra acumulada</a:t>
            </a:r>
            <a:endParaRPr lang="es-GT" sz="1000"/>
          </a:p>
        </c:rich>
      </c:tx>
      <c:layout>
        <c:manualLayout>
          <c:xMode val="edge"/>
          <c:yMode val="edge"/>
          <c:x val="0.2247214090910839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cap="none" spc="0" normalizeH="0" baseline="0">
              <a:solidFill>
                <a:schemeClr val="tx1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0.17037876730925874"/>
          <c:y val="0.16954856595738596"/>
          <c:w val="0.3905950764775093"/>
          <c:h val="0.7287475408586631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Títulos de deuda 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120-4C89-AAB2-44663971EFE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120-4C89-AAB2-44663971EFE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120-4C89-AAB2-44663971EFEA}"/>
              </c:ext>
            </c:extLst>
          </c:dPt>
          <c:dLbls>
            <c:dLbl>
              <c:idx val="0"/>
              <c:layout>
                <c:manualLayout>
                  <c:x val="0.36162888044166891"/>
                  <c:y val="-5.4459685482279079E-2"/>
                </c:manualLayout>
              </c:layout>
              <c:numFmt formatCode="&quot;Q&quot;#,##0.0;[Red]\-&quot;Q&quot;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6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0745814100823596"/>
                      <c:h val="0.107013711031960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120-4C89-AAB2-44663971EFEA}"/>
                </c:ext>
              </c:extLst>
            </c:dLbl>
            <c:numFmt formatCode="&quot;Q&quot;#,##0.0;[Red]\-&quot;Q&quot;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1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</c:f>
              <c:strCache>
                <c:ptCount val="1"/>
                <c:pt idx="0">
                  <c:v>Junio</c:v>
                </c:pt>
              </c:strCache>
            </c:strRef>
          </c:cat>
          <c:val>
            <c:numRef>
              <c:f>Hoja1!$B$2</c:f>
              <c:numCache>
                <c:formatCode>"Q"#,##0.0</c:formatCode>
                <c:ptCount val="1"/>
                <c:pt idx="0">
                  <c:v>3170.6767966400002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120-4C89-AAB2-44663971EFEA}"/>
            </c:ext>
          </c:extLst>
        </c:ser>
        <c:ser>
          <c:idx val="1"/>
          <c:order val="1"/>
          <c:tx>
            <c:strRef>
              <c:f>Hoja1!$A$3</c:f>
              <c:strCache>
                <c:ptCount val="1"/>
                <c:pt idx="0">
                  <c:v>Préstamos 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.36574146981627298"/>
                  <c:y val="4.84031591361216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600" b="0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1819CB3-8AC4-495D-B9C7-57AEBB714522}" type="SERIESNAME">
                      <a:rPr lang="en-US" sz="600">
                        <a:solidFill>
                          <a:srgbClr val="FF0000"/>
                        </a:solidFill>
                      </a:rPr>
                      <a:pPr>
                        <a:defRPr sz="600">
                          <a:solidFill>
                            <a:srgbClr val="FF0000"/>
                          </a:solidFill>
                        </a:defRPr>
                      </a:pPr>
                      <a:t>[NOMBRE DE LA SERIE]</a:t>
                    </a:fld>
                    <a:endParaRPr lang="en-US" sz="600" baseline="0">
                      <a:solidFill>
                        <a:srgbClr val="FF0000"/>
                      </a:solidFill>
                    </a:endParaRPr>
                  </a:p>
                  <a:p>
                    <a:pPr>
                      <a:defRPr sz="600">
                        <a:solidFill>
                          <a:srgbClr val="FF0000"/>
                        </a:solidFill>
                      </a:defRPr>
                    </a:pPr>
                    <a:fld id="{F0C5BD1F-CF89-4A0F-87AA-D79BB1DE09AF}" type="VALUE">
                      <a:rPr lang="en-US" sz="600">
                        <a:solidFill>
                          <a:srgbClr val="FF0000"/>
                        </a:solidFill>
                      </a:rPr>
                      <a:pPr>
                        <a:defRPr sz="600">
                          <a:solidFill>
                            <a:srgbClr val="FF0000"/>
                          </a:solidFill>
                        </a:defRPr>
                      </a:pPr>
                      <a:t>[VALOR]</a:t>
                    </a:fld>
                    <a:endParaRPr lang="es-GT"/>
                  </a:p>
                </c:rich>
              </c:tx>
              <c:numFmt formatCode="&quot;Q&quot;#,##0.0;[Red]\-&quot;Q&quot;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600" b="0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dLblPos val="ctr"/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0171101457145436"/>
                      <c:h val="0.11117729043324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120-4C89-AAB2-44663971EFEA}"/>
                </c:ext>
              </c:extLst>
            </c:dLbl>
            <c:numFmt formatCode="&quot;Q&quot;#,##0.0;[Red]\-&quot;Q&quot;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ctr"/>
            <c:showLegendKey val="1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</c:f>
              <c:strCache>
                <c:ptCount val="1"/>
                <c:pt idx="0">
                  <c:v>Junio</c:v>
                </c:pt>
              </c:strCache>
            </c:strRef>
          </c:cat>
          <c:val>
            <c:numRef>
              <c:f>Hoja1!$B$3</c:f>
              <c:numCache>
                <c:formatCode>"Q"#,##0.0</c:formatCode>
                <c:ptCount val="1"/>
                <c:pt idx="0">
                  <c:v>-139.43153805999998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120-4C89-AAB2-44663971EFEA}"/>
            </c:ext>
          </c:extLst>
        </c:ser>
        <c:ser>
          <c:idx val="2"/>
          <c:order val="2"/>
          <c:tx>
            <c:strRef>
              <c:f>Hoja1!$A$4</c:f>
              <c:strCache>
                <c:ptCount val="1"/>
                <c:pt idx="0">
                  <c:v>Otras cuentas por cobrar 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.35601660783781325"/>
                  <c:y val="-9.0749639653590966E-2"/>
                </c:manualLayout>
              </c:layout>
              <c:numFmt formatCode="&quot;Q&quot;#,##0.0;[Red]\-&quot;Q&quot;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6722825595076475"/>
                      <c:h val="0.151856290278389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3120-4C89-AAB2-44663971EFEA}"/>
                </c:ext>
              </c:extLst>
            </c:dLbl>
            <c:numFmt formatCode="&quot;Q&quot;#,##0.0;[Red]\-&quot;Q&quot;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1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</c:f>
              <c:strCache>
                <c:ptCount val="1"/>
                <c:pt idx="0">
                  <c:v>Junio</c:v>
                </c:pt>
              </c:strCache>
            </c:strRef>
          </c:cat>
          <c:val>
            <c:numRef>
              <c:f>Hoja1!$B$4</c:f>
              <c:numCache>
                <c:formatCode>"Q"#,##0.0</c:formatCode>
                <c:ptCount val="1"/>
                <c:pt idx="0">
                  <c:v>-730.16465061999997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120-4C89-AAB2-44663971EFEA}"/>
            </c:ext>
          </c:extLst>
        </c:ser>
        <c:ser>
          <c:idx val="3"/>
          <c:order val="3"/>
          <c:tx>
            <c:strRef>
              <c:f>Hoja1!$A$5</c:f>
              <c:strCache>
                <c:ptCount val="1"/>
                <c:pt idx="0">
                  <c:v>Billetes, monedas y depósitos 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.36835233957824237"/>
                  <c:y val="-3.5756901355148855E-2"/>
                </c:manualLayout>
              </c:layout>
              <c:numFmt formatCode="&quot;Q&quot;#,##0.0;[Red]\-&quot;Q&quot;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dLblPos val="ctr"/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9003529731197401"/>
                      <c:h val="0.177993148103906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3120-4C89-AAB2-44663971EFEA}"/>
                </c:ext>
              </c:extLst>
            </c:dLbl>
            <c:numFmt formatCode="&quot;Q&quot;#,##0.0;[Red]\-&quot;Q&quot;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dLblPos val="ctr"/>
            <c:showLegendKey val="1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</c:f>
              <c:strCache>
                <c:ptCount val="1"/>
                <c:pt idx="0">
                  <c:v>Junio</c:v>
                </c:pt>
              </c:strCache>
            </c:strRef>
          </c:cat>
          <c:val>
            <c:numRef>
              <c:f>Hoja1!$B$5</c:f>
              <c:numCache>
                <c:formatCode>"Q"#,##0.0</c:formatCode>
                <c:ptCount val="1"/>
                <c:pt idx="0">
                  <c:v>1360.505827330001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120-4C89-AAB2-44663971EF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49944351"/>
        <c:axId val="1149953951"/>
      </c:barChart>
      <c:catAx>
        <c:axId val="114994435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149953951"/>
        <c:crosses val="autoZero"/>
        <c:auto val="1"/>
        <c:lblAlgn val="ctr"/>
        <c:lblOffset val="100"/>
        <c:noMultiLvlLbl val="0"/>
      </c:catAx>
      <c:valAx>
        <c:axId val="1149953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1499443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7429C-5B6E-468F-AF42-BE9281FF2A23}" type="doc">
      <dgm:prSet loTypeId="urn:microsoft.com/office/officeart/2005/8/layout/vList5" loCatId="list" qsTypeId="urn:microsoft.com/office/officeart/2005/8/quickstyle/simple2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68DFCB13-F778-41C4-88A6-8A8793BBCF6B}">
      <dgm:prSet phldrT="[Texto]" custT="1"/>
      <dgm:spPr>
        <a:ln w="9525">
          <a:solidFill>
            <a:schemeClr val="tx1"/>
          </a:solidFill>
        </a:ln>
      </dgm:spPr>
      <dgm:t>
        <a:bodyPr/>
        <a:lstStyle/>
        <a:p>
          <a:pPr algn="ctr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gm:t>
    </dgm:pt>
    <dgm:pt modelId="{55E528F8-5473-447A-B4D6-39039A5FF545}" type="par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C21111-088F-4CAC-A53E-A2F91EF73064}" type="sib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C29C0B-230A-4A2F-B7AB-59E88CC6B709}">
      <dgm:prSet phldrT="[Texto]" custT="1"/>
      <dgm:spPr>
        <a:ln w="12700">
          <a:solidFill>
            <a:schemeClr val="tx1">
              <a:lumMod val="65000"/>
              <a:lumOff val="35000"/>
              <a:alpha val="90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pPr algn="just"/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En los </a:t>
          </a:r>
          <a:r>
            <a:rPr lang="en-US" sz="900" b="0" strike="noStrike">
              <a:latin typeface="Times New Roman" panose="02020603050405020304" pitchFamily="18" charset="0"/>
              <a:cs typeface="Times New Roman" panose="02020603050405020304" pitchFamily="18" charset="0"/>
            </a:rPr>
            <a:t>estándares</a:t>
          </a: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 internacionales, un ingreso es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un aumento del patrimonio neto como resultado de una transacción </a:t>
          </a: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(MEFP 2014) </a:t>
          </a:r>
        </a:p>
      </dgm:t>
    </dgm:pt>
    <dgm:pt modelId="{BD00C7DA-D115-4DC8-96E9-9A8238F85148}" type="par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B422C-F1D3-4985-A61D-252683A994E5}" type="sib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D8A26F-DCE5-401A-9566-DEFA18061B72}" type="pres">
      <dgm:prSet presAssocID="{FF27429C-5B6E-468F-AF42-BE9281FF2A23}" presName="Name0" presStyleCnt="0">
        <dgm:presLayoutVars>
          <dgm:dir/>
          <dgm:animLvl val="lvl"/>
          <dgm:resizeHandles val="exact"/>
        </dgm:presLayoutVars>
      </dgm:prSet>
      <dgm:spPr/>
    </dgm:pt>
    <dgm:pt modelId="{0F4686C6-42DE-499E-82C4-A9B146C0932F}" type="pres">
      <dgm:prSet presAssocID="{68DFCB13-F778-41C4-88A6-8A8793BBCF6B}" presName="linNode" presStyleCnt="0"/>
      <dgm:spPr/>
    </dgm:pt>
    <dgm:pt modelId="{07EE568B-6A23-417E-857A-D096AE89DF66}" type="pres">
      <dgm:prSet presAssocID="{68DFCB13-F778-41C4-88A6-8A8793BBCF6B}" presName="parentText" presStyleLbl="node1" presStyleIdx="0" presStyleCnt="1" custScaleX="75028" custLinFactNeighborX="-13821" custLinFactNeighborY="-49">
        <dgm:presLayoutVars>
          <dgm:chMax val="1"/>
          <dgm:bulletEnabled val="1"/>
        </dgm:presLayoutVars>
      </dgm:prSet>
      <dgm:spPr/>
    </dgm:pt>
    <dgm:pt modelId="{2536B8DD-1898-487D-8A92-C1351B85FE61}" type="pres">
      <dgm:prSet presAssocID="{68DFCB13-F778-41C4-88A6-8A8793BBCF6B}" presName="descendantText" presStyleLbl="alignAccFollowNode1" presStyleIdx="0" presStyleCnt="1" custScaleX="130176">
        <dgm:presLayoutVars>
          <dgm:bulletEnabled val="1"/>
        </dgm:presLayoutVars>
      </dgm:prSet>
      <dgm:spPr/>
    </dgm:pt>
  </dgm:ptLst>
  <dgm:cxnLst>
    <dgm:cxn modelId="{623BD00C-6909-4D10-AD3B-64639427FA30}" type="presOf" srcId="{01C29C0B-230A-4A2F-B7AB-59E88CC6B709}" destId="{2536B8DD-1898-487D-8A92-C1351B85FE61}" srcOrd="0" destOrd="0" presId="urn:microsoft.com/office/officeart/2005/8/layout/vList5"/>
    <dgm:cxn modelId="{9E117C35-F0A3-4260-AE5F-3261DFB7C6EE}" srcId="{FF27429C-5B6E-468F-AF42-BE9281FF2A23}" destId="{68DFCB13-F778-41C4-88A6-8A8793BBCF6B}" srcOrd="0" destOrd="0" parTransId="{55E528F8-5473-447A-B4D6-39039A5FF545}" sibTransId="{18C21111-088F-4CAC-A53E-A2F91EF73064}"/>
    <dgm:cxn modelId="{83FF9646-5984-4553-953E-2FF158E2A563}" type="presOf" srcId="{68DFCB13-F778-41C4-88A6-8A8793BBCF6B}" destId="{07EE568B-6A23-417E-857A-D096AE89DF66}" srcOrd="0" destOrd="0" presId="urn:microsoft.com/office/officeart/2005/8/layout/vList5"/>
    <dgm:cxn modelId="{047B5950-955A-4E9C-890F-03A957F573F6}" srcId="{68DFCB13-F778-41C4-88A6-8A8793BBCF6B}" destId="{01C29C0B-230A-4A2F-B7AB-59E88CC6B709}" srcOrd="0" destOrd="0" parTransId="{BD00C7DA-D115-4DC8-96E9-9A8238F85148}" sibTransId="{65EB422C-F1D3-4985-A61D-252683A994E5}"/>
    <dgm:cxn modelId="{5F01F7DA-61FC-43A1-858F-551A9CA1F223}" type="presOf" srcId="{FF27429C-5B6E-468F-AF42-BE9281FF2A23}" destId="{51D8A26F-DCE5-401A-9566-DEFA18061B72}" srcOrd="0" destOrd="0" presId="urn:microsoft.com/office/officeart/2005/8/layout/vList5"/>
    <dgm:cxn modelId="{BE291995-06EE-41D6-A8F6-1A2EB996F80B}" type="presParOf" srcId="{51D8A26F-DCE5-401A-9566-DEFA18061B72}" destId="{0F4686C6-42DE-499E-82C4-A9B146C0932F}" srcOrd="0" destOrd="0" presId="urn:microsoft.com/office/officeart/2005/8/layout/vList5"/>
    <dgm:cxn modelId="{A2AF2252-F07C-47AC-BA27-F13D35599048}" type="presParOf" srcId="{0F4686C6-42DE-499E-82C4-A9B146C0932F}" destId="{07EE568B-6A23-417E-857A-D096AE89DF66}" srcOrd="0" destOrd="0" presId="urn:microsoft.com/office/officeart/2005/8/layout/vList5"/>
    <dgm:cxn modelId="{2D6CD9B5-C48A-49BD-B455-76D38179A561}" type="presParOf" srcId="{0F4686C6-42DE-499E-82C4-A9B146C0932F}" destId="{2536B8DD-1898-487D-8A92-C1351B85FE61}" srcOrd="1" destOrd="0" presId="urn:microsoft.com/office/officeart/2005/8/layout/vList5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F27429C-5B6E-468F-AF42-BE9281FF2A23}" type="doc">
      <dgm:prSet loTypeId="urn:microsoft.com/office/officeart/2005/8/layout/vList5" loCatId="list" qsTypeId="urn:microsoft.com/office/officeart/2005/8/quickstyle/simple2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68DFCB13-F778-41C4-88A6-8A8793BBCF6B}">
      <dgm:prSet phldrT="[Texto]" custT="1"/>
      <dgm:spPr>
        <a:ln w="9525">
          <a:solidFill>
            <a:schemeClr val="tx1"/>
          </a:solidFill>
        </a:ln>
      </dgm:spPr>
      <dgm:t>
        <a:bodyPr/>
        <a:lstStyle/>
        <a:p>
          <a:pPr algn="ctr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gm:t>
    </dgm:pt>
    <dgm:pt modelId="{55E528F8-5473-447A-B4D6-39039A5FF545}" type="par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C21111-088F-4CAC-A53E-A2F91EF73064}" type="sib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C29C0B-230A-4A2F-B7AB-59E88CC6B709}">
      <dgm:prSet phldrT="[Texto]" custT="1"/>
      <dgm:spPr>
        <a:ln w="12700">
          <a:solidFill>
            <a:schemeClr val="tx1">
              <a:lumMod val="65000"/>
              <a:lumOff val="35000"/>
              <a:alpha val="90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pPr algn="just"/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En los </a:t>
          </a:r>
          <a:r>
            <a:rPr lang="en-US" sz="900" b="0" strike="noStrike">
              <a:latin typeface="Times New Roman" panose="02020603050405020304" pitchFamily="18" charset="0"/>
              <a:cs typeface="Times New Roman" panose="02020603050405020304" pitchFamily="18" charset="0"/>
            </a:rPr>
            <a:t>estándares</a:t>
          </a: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 internacionales, un gasto es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una disminución del patrimonio neto como resultado de una transacción </a:t>
          </a: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(MEFP 2014) </a:t>
          </a:r>
        </a:p>
      </dgm:t>
    </dgm:pt>
    <dgm:pt modelId="{BD00C7DA-D115-4DC8-96E9-9A8238F85148}" type="par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B422C-F1D3-4985-A61D-252683A994E5}" type="sib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D8A26F-DCE5-401A-9566-DEFA18061B72}" type="pres">
      <dgm:prSet presAssocID="{FF27429C-5B6E-468F-AF42-BE9281FF2A23}" presName="Name0" presStyleCnt="0">
        <dgm:presLayoutVars>
          <dgm:dir/>
          <dgm:animLvl val="lvl"/>
          <dgm:resizeHandles val="exact"/>
        </dgm:presLayoutVars>
      </dgm:prSet>
      <dgm:spPr/>
    </dgm:pt>
    <dgm:pt modelId="{0F4686C6-42DE-499E-82C4-A9B146C0932F}" type="pres">
      <dgm:prSet presAssocID="{68DFCB13-F778-41C4-88A6-8A8793BBCF6B}" presName="linNode" presStyleCnt="0"/>
      <dgm:spPr/>
    </dgm:pt>
    <dgm:pt modelId="{07EE568B-6A23-417E-857A-D096AE89DF66}" type="pres">
      <dgm:prSet presAssocID="{68DFCB13-F778-41C4-88A6-8A8793BBCF6B}" presName="parentText" presStyleLbl="node1" presStyleIdx="0" presStyleCnt="1" custScaleX="75028" custLinFactNeighborX="-13821" custLinFactNeighborY="-49">
        <dgm:presLayoutVars>
          <dgm:chMax val="1"/>
          <dgm:bulletEnabled val="1"/>
        </dgm:presLayoutVars>
      </dgm:prSet>
      <dgm:spPr/>
    </dgm:pt>
    <dgm:pt modelId="{2536B8DD-1898-487D-8A92-C1351B85FE61}" type="pres">
      <dgm:prSet presAssocID="{68DFCB13-F778-41C4-88A6-8A8793BBCF6B}" presName="descendantText" presStyleLbl="alignAccFollowNode1" presStyleIdx="0" presStyleCnt="1" custScaleX="130176">
        <dgm:presLayoutVars>
          <dgm:bulletEnabled val="1"/>
        </dgm:presLayoutVars>
      </dgm:prSet>
      <dgm:spPr/>
    </dgm:pt>
  </dgm:ptLst>
  <dgm:cxnLst>
    <dgm:cxn modelId="{623BD00C-6909-4D10-AD3B-64639427FA30}" type="presOf" srcId="{01C29C0B-230A-4A2F-B7AB-59E88CC6B709}" destId="{2536B8DD-1898-487D-8A92-C1351B85FE61}" srcOrd="0" destOrd="0" presId="urn:microsoft.com/office/officeart/2005/8/layout/vList5"/>
    <dgm:cxn modelId="{9E117C35-F0A3-4260-AE5F-3261DFB7C6EE}" srcId="{FF27429C-5B6E-468F-AF42-BE9281FF2A23}" destId="{68DFCB13-F778-41C4-88A6-8A8793BBCF6B}" srcOrd="0" destOrd="0" parTransId="{55E528F8-5473-447A-B4D6-39039A5FF545}" sibTransId="{18C21111-088F-4CAC-A53E-A2F91EF73064}"/>
    <dgm:cxn modelId="{83FF9646-5984-4553-953E-2FF158E2A563}" type="presOf" srcId="{68DFCB13-F778-41C4-88A6-8A8793BBCF6B}" destId="{07EE568B-6A23-417E-857A-D096AE89DF66}" srcOrd="0" destOrd="0" presId="urn:microsoft.com/office/officeart/2005/8/layout/vList5"/>
    <dgm:cxn modelId="{047B5950-955A-4E9C-890F-03A957F573F6}" srcId="{68DFCB13-F778-41C4-88A6-8A8793BBCF6B}" destId="{01C29C0B-230A-4A2F-B7AB-59E88CC6B709}" srcOrd="0" destOrd="0" parTransId="{BD00C7DA-D115-4DC8-96E9-9A8238F85148}" sibTransId="{65EB422C-F1D3-4985-A61D-252683A994E5}"/>
    <dgm:cxn modelId="{5F01F7DA-61FC-43A1-858F-551A9CA1F223}" type="presOf" srcId="{FF27429C-5B6E-468F-AF42-BE9281FF2A23}" destId="{51D8A26F-DCE5-401A-9566-DEFA18061B72}" srcOrd="0" destOrd="0" presId="urn:microsoft.com/office/officeart/2005/8/layout/vList5"/>
    <dgm:cxn modelId="{BE291995-06EE-41D6-A8F6-1A2EB996F80B}" type="presParOf" srcId="{51D8A26F-DCE5-401A-9566-DEFA18061B72}" destId="{0F4686C6-42DE-499E-82C4-A9B146C0932F}" srcOrd="0" destOrd="0" presId="urn:microsoft.com/office/officeart/2005/8/layout/vList5"/>
    <dgm:cxn modelId="{A2AF2252-F07C-47AC-BA27-F13D35599048}" type="presParOf" srcId="{0F4686C6-42DE-499E-82C4-A9B146C0932F}" destId="{07EE568B-6A23-417E-857A-D096AE89DF66}" srcOrd="0" destOrd="0" presId="urn:microsoft.com/office/officeart/2005/8/layout/vList5"/>
    <dgm:cxn modelId="{2D6CD9B5-C48A-49BD-B455-76D38179A561}" type="presParOf" srcId="{0F4686C6-42DE-499E-82C4-A9B146C0932F}" destId="{2536B8DD-1898-487D-8A92-C1351B85FE61}" srcOrd="1" destOrd="0" presId="urn:microsoft.com/office/officeart/2005/8/layout/vList5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F27429C-5B6E-468F-AF42-BE9281FF2A23}" type="doc">
      <dgm:prSet loTypeId="urn:microsoft.com/office/officeart/2005/8/layout/vList5" loCatId="list" qsTypeId="urn:microsoft.com/office/officeart/2005/8/quickstyle/simple2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68DFCB13-F778-41C4-88A6-8A8793BBCF6B}">
      <dgm:prSet phldrT="[Texto]" custT="1"/>
      <dgm:spPr>
        <a:ln w="9525">
          <a:solidFill>
            <a:schemeClr val="tx1"/>
          </a:solidFill>
        </a:ln>
      </dgm:spPr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gm:t>
    </dgm:pt>
    <dgm:pt modelId="{18C21111-088F-4CAC-A53E-A2F91EF73064}" type="sib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E528F8-5473-447A-B4D6-39039A5FF545}" type="par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C29C0B-230A-4A2F-B7AB-59E88CC6B709}">
      <dgm:prSet phldrT="[Texto]" custT="1"/>
      <dgm:spPr>
        <a:ln w="12700">
          <a:solidFill>
            <a:schemeClr val="tx1">
              <a:lumMod val="65000"/>
              <a:lumOff val="35000"/>
              <a:alpha val="90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pPr algn="just"/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Una transacción es un flujo económico que consiste en una interacción entre unidades institucionales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por mutuo acuerdo o mediante la aplicación de la ley.... (MEFP 2014)</a:t>
          </a: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. Las transacciones en activos y pasivos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no generan cambios en el patrimonio neto.</a:t>
          </a:r>
          <a:endParaRPr lang="en-US" sz="9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B422C-F1D3-4985-A61D-252683A994E5}" type="sib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00C7DA-D115-4DC8-96E9-9A8238F85148}" type="par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D8A26F-DCE5-401A-9566-DEFA18061B72}" type="pres">
      <dgm:prSet presAssocID="{FF27429C-5B6E-468F-AF42-BE9281FF2A23}" presName="Name0" presStyleCnt="0">
        <dgm:presLayoutVars>
          <dgm:dir/>
          <dgm:animLvl val="lvl"/>
          <dgm:resizeHandles val="exact"/>
        </dgm:presLayoutVars>
      </dgm:prSet>
      <dgm:spPr/>
    </dgm:pt>
    <dgm:pt modelId="{0F4686C6-42DE-499E-82C4-A9B146C0932F}" type="pres">
      <dgm:prSet presAssocID="{68DFCB13-F778-41C4-88A6-8A8793BBCF6B}" presName="linNode" presStyleCnt="0"/>
      <dgm:spPr/>
    </dgm:pt>
    <dgm:pt modelId="{07EE568B-6A23-417E-857A-D096AE89DF66}" type="pres">
      <dgm:prSet presAssocID="{68DFCB13-F778-41C4-88A6-8A8793BBCF6B}" presName="parentText" presStyleLbl="node1" presStyleIdx="0" presStyleCnt="1" custScaleX="75028" custScaleY="88618" custLinFactNeighborX="-13821" custLinFactNeighborY="-49">
        <dgm:presLayoutVars>
          <dgm:chMax val="1"/>
          <dgm:bulletEnabled val="1"/>
        </dgm:presLayoutVars>
      </dgm:prSet>
      <dgm:spPr/>
    </dgm:pt>
    <dgm:pt modelId="{2536B8DD-1898-487D-8A92-C1351B85FE61}" type="pres">
      <dgm:prSet presAssocID="{68DFCB13-F778-41C4-88A6-8A8793BBCF6B}" presName="descendantText" presStyleLbl="alignAccFollowNode1" presStyleIdx="0" presStyleCnt="1" custScaleX="130176">
        <dgm:presLayoutVars>
          <dgm:bulletEnabled val="1"/>
        </dgm:presLayoutVars>
      </dgm:prSet>
      <dgm:spPr/>
    </dgm:pt>
  </dgm:ptLst>
  <dgm:cxnLst>
    <dgm:cxn modelId="{623BD00C-6909-4D10-AD3B-64639427FA30}" type="presOf" srcId="{01C29C0B-230A-4A2F-B7AB-59E88CC6B709}" destId="{2536B8DD-1898-487D-8A92-C1351B85FE61}" srcOrd="0" destOrd="0" presId="urn:microsoft.com/office/officeart/2005/8/layout/vList5"/>
    <dgm:cxn modelId="{9E117C35-F0A3-4260-AE5F-3261DFB7C6EE}" srcId="{FF27429C-5B6E-468F-AF42-BE9281FF2A23}" destId="{68DFCB13-F778-41C4-88A6-8A8793BBCF6B}" srcOrd="0" destOrd="0" parTransId="{55E528F8-5473-447A-B4D6-39039A5FF545}" sibTransId="{18C21111-088F-4CAC-A53E-A2F91EF73064}"/>
    <dgm:cxn modelId="{83FF9646-5984-4553-953E-2FF158E2A563}" type="presOf" srcId="{68DFCB13-F778-41C4-88A6-8A8793BBCF6B}" destId="{07EE568B-6A23-417E-857A-D096AE89DF66}" srcOrd="0" destOrd="0" presId="urn:microsoft.com/office/officeart/2005/8/layout/vList5"/>
    <dgm:cxn modelId="{047B5950-955A-4E9C-890F-03A957F573F6}" srcId="{68DFCB13-F778-41C4-88A6-8A8793BBCF6B}" destId="{01C29C0B-230A-4A2F-B7AB-59E88CC6B709}" srcOrd="0" destOrd="0" parTransId="{BD00C7DA-D115-4DC8-96E9-9A8238F85148}" sibTransId="{65EB422C-F1D3-4985-A61D-252683A994E5}"/>
    <dgm:cxn modelId="{5F01F7DA-61FC-43A1-858F-551A9CA1F223}" type="presOf" srcId="{FF27429C-5B6E-468F-AF42-BE9281FF2A23}" destId="{51D8A26F-DCE5-401A-9566-DEFA18061B72}" srcOrd="0" destOrd="0" presId="urn:microsoft.com/office/officeart/2005/8/layout/vList5"/>
    <dgm:cxn modelId="{BE291995-06EE-41D6-A8F6-1A2EB996F80B}" type="presParOf" srcId="{51D8A26F-DCE5-401A-9566-DEFA18061B72}" destId="{0F4686C6-42DE-499E-82C4-A9B146C0932F}" srcOrd="0" destOrd="0" presId="urn:microsoft.com/office/officeart/2005/8/layout/vList5"/>
    <dgm:cxn modelId="{A2AF2252-F07C-47AC-BA27-F13D35599048}" type="presParOf" srcId="{0F4686C6-42DE-499E-82C4-A9B146C0932F}" destId="{07EE568B-6A23-417E-857A-D096AE89DF66}" srcOrd="0" destOrd="0" presId="urn:microsoft.com/office/officeart/2005/8/layout/vList5"/>
    <dgm:cxn modelId="{2D6CD9B5-C48A-49BD-B455-76D38179A561}" type="presParOf" srcId="{0F4686C6-42DE-499E-82C4-A9B146C0932F}" destId="{2536B8DD-1898-487D-8A92-C1351B85FE61}" srcOrd="1" destOrd="0" presId="urn:microsoft.com/office/officeart/2005/8/layout/vList5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F27429C-5B6E-468F-AF42-BE9281FF2A23}" type="doc">
      <dgm:prSet loTypeId="urn:microsoft.com/office/officeart/2005/8/layout/vList5" loCatId="list" qsTypeId="urn:microsoft.com/office/officeart/2005/8/quickstyle/simple2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68DFCB13-F778-41C4-88A6-8A8793BBCF6B}">
      <dgm:prSet phldrT="[Texto]" custT="1"/>
      <dgm:spPr>
        <a:ln w="9525">
          <a:solidFill>
            <a:schemeClr val="tx1"/>
          </a:solidFill>
        </a:ln>
      </dgm:spPr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gm:t>
    </dgm:pt>
    <dgm:pt modelId="{55E528F8-5473-447A-B4D6-39039A5FF545}" type="par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C21111-088F-4CAC-A53E-A2F91EF73064}" type="sib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C29C0B-230A-4A2F-B7AB-59E88CC6B709}">
      <dgm:prSet phldrT="[Texto]" custT="1"/>
      <dgm:spPr>
        <a:ln w="12700">
          <a:solidFill>
            <a:schemeClr val="tx1">
              <a:lumMod val="65000"/>
              <a:lumOff val="35000"/>
              <a:alpha val="90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pPr algn="just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Las "Erogaciones" poseen cierta similitud conceptual al concepto de gasto en la metodología nacional, sin embargo, existen diferencias. </a:t>
          </a: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En </a:t>
          </a:r>
          <a:r>
            <a:rPr lang="en-US" sz="9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los </a:t>
          </a:r>
          <a:r>
            <a:rPr lang="en-US" sz="900" b="0" strike="noStrike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estándares</a:t>
          </a:r>
          <a:r>
            <a:rPr lang="en-US" sz="9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internacionales,</a:t>
          </a:r>
          <a:r>
            <a:rPr lang="en-US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9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una erogación es </a:t>
          </a:r>
          <a:r>
            <a:rPr lang="en-US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la suma de los gastos y la inversión neta en activos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no financieros (MEFP 2014) </a:t>
          </a:r>
          <a:endParaRPr lang="en-US" sz="9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00C7DA-D115-4DC8-96E9-9A8238F85148}" type="par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B422C-F1D3-4985-A61D-252683A994E5}" type="sib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D8A26F-DCE5-401A-9566-DEFA18061B72}" type="pres">
      <dgm:prSet presAssocID="{FF27429C-5B6E-468F-AF42-BE9281FF2A23}" presName="Name0" presStyleCnt="0">
        <dgm:presLayoutVars>
          <dgm:dir/>
          <dgm:animLvl val="lvl"/>
          <dgm:resizeHandles val="exact"/>
        </dgm:presLayoutVars>
      </dgm:prSet>
      <dgm:spPr/>
    </dgm:pt>
    <dgm:pt modelId="{0F4686C6-42DE-499E-82C4-A9B146C0932F}" type="pres">
      <dgm:prSet presAssocID="{68DFCB13-F778-41C4-88A6-8A8793BBCF6B}" presName="linNode" presStyleCnt="0"/>
      <dgm:spPr/>
    </dgm:pt>
    <dgm:pt modelId="{07EE568B-6A23-417E-857A-D096AE89DF66}" type="pres">
      <dgm:prSet presAssocID="{68DFCB13-F778-41C4-88A6-8A8793BBCF6B}" presName="parentText" presStyleLbl="node1" presStyleIdx="0" presStyleCnt="1" custScaleX="75028" custLinFactNeighborX="-13821" custLinFactNeighborY="-49">
        <dgm:presLayoutVars>
          <dgm:chMax val="1"/>
          <dgm:bulletEnabled val="1"/>
        </dgm:presLayoutVars>
      </dgm:prSet>
      <dgm:spPr/>
    </dgm:pt>
    <dgm:pt modelId="{2536B8DD-1898-487D-8A92-C1351B85FE61}" type="pres">
      <dgm:prSet presAssocID="{68DFCB13-F778-41C4-88A6-8A8793BBCF6B}" presName="descendantText" presStyleLbl="alignAccFollowNode1" presStyleIdx="0" presStyleCnt="1" custScaleX="130176">
        <dgm:presLayoutVars>
          <dgm:bulletEnabled val="1"/>
        </dgm:presLayoutVars>
      </dgm:prSet>
      <dgm:spPr/>
    </dgm:pt>
  </dgm:ptLst>
  <dgm:cxnLst>
    <dgm:cxn modelId="{623BD00C-6909-4D10-AD3B-64639427FA30}" type="presOf" srcId="{01C29C0B-230A-4A2F-B7AB-59E88CC6B709}" destId="{2536B8DD-1898-487D-8A92-C1351B85FE61}" srcOrd="0" destOrd="0" presId="urn:microsoft.com/office/officeart/2005/8/layout/vList5"/>
    <dgm:cxn modelId="{9E117C35-F0A3-4260-AE5F-3261DFB7C6EE}" srcId="{FF27429C-5B6E-468F-AF42-BE9281FF2A23}" destId="{68DFCB13-F778-41C4-88A6-8A8793BBCF6B}" srcOrd="0" destOrd="0" parTransId="{55E528F8-5473-447A-B4D6-39039A5FF545}" sibTransId="{18C21111-088F-4CAC-A53E-A2F91EF73064}"/>
    <dgm:cxn modelId="{83FF9646-5984-4553-953E-2FF158E2A563}" type="presOf" srcId="{68DFCB13-F778-41C4-88A6-8A8793BBCF6B}" destId="{07EE568B-6A23-417E-857A-D096AE89DF66}" srcOrd="0" destOrd="0" presId="urn:microsoft.com/office/officeart/2005/8/layout/vList5"/>
    <dgm:cxn modelId="{047B5950-955A-4E9C-890F-03A957F573F6}" srcId="{68DFCB13-F778-41C4-88A6-8A8793BBCF6B}" destId="{01C29C0B-230A-4A2F-B7AB-59E88CC6B709}" srcOrd="0" destOrd="0" parTransId="{BD00C7DA-D115-4DC8-96E9-9A8238F85148}" sibTransId="{65EB422C-F1D3-4985-A61D-252683A994E5}"/>
    <dgm:cxn modelId="{5F01F7DA-61FC-43A1-858F-551A9CA1F223}" type="presOf" srcId="{FF27429C-5B6E-468F-AF42-BE9281FF2A23}" destId="{51D8A26F-DCE5-401A-9566-DEFA18061B72}" srcOrd="0" destOrd="0" presId="urn:microsoft.com/office/officeart/2005/8/layout/vList5"/>
    <dgm:cxn modelId="{BE291995-06EE-41D6-A8F6-1A2EB996F80B}" type="presParOf" srcId="{51D8A26F-DCE5-401A-9566-DEFA18061B72}" destId="{0F4686C6-42DE-499E-82C4-A9B146C0932F}" srcOrd="0" destOrd="0" presId="urn:microsoft.com/office/officeart/2005/8/layout/vList5"/>
    <dgm:cxn modelId="{A2AF2252-F07C-47AC-BA27-F13D35599048}" type="presParOf" srcId="{0F4686C6-42DE-499E-82C4-A9B146C0932F}" destId="{07EE568B-6A23-417E-857A-D096AE89DF66}" srcOrd="0" destOrd="0" presId="urn:microsoft.com/office/officeart/2005/8/layout/vList5"/>
    <dgm:cxn modelId="{2D6CD9B5-C48A-49BD-B455-76D38179A561}" type="presParOf" srcId="{0F4686C6-42DE-499E-82C4-A9B146C0932F}" destId="{2536B8DD-1898-487D-8A92-C1351B85FE61}" srcOrd="1" destOrd="0" presId="urn:microsoft.com/office/officeart/2005/8/layout/vList5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F27429C-5B6E-468F-AF42-BE9281FF2A23}" type="doc">
      <dgm:prSet loTypeId="urn:microsoft.com/office/officeart/2005/8/layout/vList5" loCatId="list" qsTypeId="urn:microsoft.com/office/officeart/2005/8/quickstyle/simple2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01C29C0B-230A-4A2F-B7AB-59E88CC6B709}">
      <dgm:prSet phldrT="[Texto]" custT="1"/>
      <dgm:spPr>
        <a:ln w="12700">
          <a:solidFill>
            <a:schemeClr val="tx1">
              <a:lumMod val="65000"/>
              <a:lumOff val="35000"/>
              <a:alpha val="90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pPr algn="just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Existe una diferencia importante entre el concepto de resultado fiscal con metodología nacional y los </a:t>
          </a:r>
          <a:r>
            <a:rPr lang="en-US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estándares internacionales, lo cual </a:t>
          </a: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hace que éstos no sean perfectamente comparables.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En los </a:t>
          </a:r>
          <a:r>
            <a:rPr lang="en-US" sz="900" b="1" strike="noStrike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estándares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 internacionales existen los siguientes indicadores fiscales:</a:t>
          </a:r>
          <a:endParaRPr lang="en-US" sz="9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00C7DA-D115-4DC8-96E9-9A8238F85148}" type="par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B422C-F1D3-4985-A61D-252683A994E5}" type="sibTrans" cxnId="{047B5950-955A-4E9C-890F-03A957F573F6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A6ACE3-485E-404D-A58A-7823AB008BFD}">
      <dgm:prSet custT="1"/>
      <dgm:spPr/>
      <dgm:t>
        <a:bodyPr/>
        <a:lstStyle/>
        <a:p>
          <a:pPr algn="just"/>
          <a:endParaRPr lang="en-US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966B43-D3D5-42FD-AE76-719ECE059C68}" type="parTrans" cxnId="{5E70EA89-E163-4B3E-926F-E5EFBF2F139F}">
      <dgm:prSet/>
      <dgm:spPr/>
      <dgm:t>
        <a:bodyPr/>
        <a:lstStyle/>
        <a:p>
          <a:endParaRPr lang="es-GT"/>
        </a:p>
      </dgm:t>
    </dgm:pt>
    <dgm:pt modelId="{5333C141-0D65-4830-8280-A0D9852BFBC6}" type="sibTrans" cxnId="{5E70EA89-E163-4B3E-926F-E5EFBF2F139F}">
      <dgm:prSet/>
      <dgm:spPr/>
      <dgm:t>
        <a:bodyPr/>
        <a:lstStyle/>
        <a:p>
          <a:endParaRPr lang="es-GT"/>
        </a:p>
      </dgm:t>
    </dgm:pt>
    <dgm:pt modelId="{DDC0D7A1-C052-4A6F-92AE-1E351FF9A75B}">
      <dgm:prSet custT="1"/>
      <dgm:spPr/>
      <dgm:t>
        <a:bodyPr/>
        <a:lstStyle/>
        <a:p>
          <a:pPr algn="just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1.) Resultado Operativo Neto (NOB) = </a:t>
          </a: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Ingresos - Gastos</a:t>
          </a:r>
        </a:p>
      </dgm:t>
    </dgm:pt>
    <dgm:pt modelId="{3493B001-C46C-4D6E-8C43-1F144DCF5867}" type="parTrans" cxnId="{F76FC0BB-E260-4052-8CD9-D167148DB746}">
      <dgm:prSet/>
      <dgm:spPr/>
      <dgm:t>
        <a:bodyPr/>
        <a:lstStyle/>
        <a:p>
          <a:endParaRPr lang="es-GT"/>
        </a:p>
      </dgm:t>
    </dgm:pt>
    <dgm:pt modelId="{C897CF63-1981-460B-8FBF-0A9B90548127}" type="sibTrans" cxnId="{F76FC0BB-E260-4052-8CD9-D167148DB746}">
      <dgm:prSet/>
      <dgm:spPr/>
      <dgm:t>
        <a:bodyPr/>
        <a:lstStyle/>
        <a:p>
          <a:endParaRPr lang="es-GT"/>
        </a:p>
      </dgm:t>
    </dgm:pt>
    <dgm:pt modelId="{4AAF067F-8991-4874-A53B-80AFD9DEAC70}">
      <dgm:prSet custT="1"/>
      <dgm:spPr/>
      <dgm:t>
        <a:bodyPr/>
        <a:lstStyle/>
        <a:p>
          <a:pPr algn="just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2.) Resultado Operativo Bruto (GOB) = </a:t>
          </a: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Ingresos - Gastos + Consumo de capital fijo</a:t>
          </a:r>
        </a:p>
      </dgm:t>
    </dgm:pt>
    <dgm:pt modelId="{CD78D7DD-74D2-4467-8A80-C751B7FCBB6A}" type="parTrans" cxnId="{32531EC7-5E8D-42C3-BC8E-0485249B5C90}">
      <dgm:prSet/>
      <dgm:spPr/>
      <dgm:t>
        <a:bodyPr/>
        <a:lstStyle/>
        <a:p>
          <a:endParaRPr lang="es-GT"/>
        </a:p>
      </dgm:t>
    </dgm:pt>
    <dgm:pt modelId="{135C9C65-7566-42BF-BA19-EEB1D887E512}" type="sibTrans" cxnId="{32531EC7-5E8D-42C3-BC8E-0485249B5C90}">
      <dgm:prSet/>
      <dgm:spPr/>
      <dgm:t>
        <a:bodyPr/>
        <a:lstStyle/>
        <a:p>
          <a:endParaRPr lang="es-GT"/>
        </a:p>
      </dgm:t>
    </dgm:pt>
    <dgm:pt modelId="{84DBFA13-5332-4EB6-A74C-7D3F97044350}">
      <dgm:prSet custT="1"/>
      <dgm:spPr/>
      <dgm:t>
        <a:bodyPr/>
        <a:lstStyle/>
        <a:p>
          <a:pPr algn="just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3.) P</a:t>
          </a:r>
          <a:r>
            <a:rPr lang="en-US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réstamo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o Endeudamiento Neto (NLB) = </a:t>
          </a:r>
          <a:r>
            <a:rPr lang="en-US" sz="900" b="0">
              <a:latin typeface="Times New Roman" panose="02020603050405020304" pitchFamily="18" charset="0"/>
              <a:cs typeface="Times New Roman" panose="02020603050405020304" pitchFamily="18" charset="0"/>
            </a:rPr>
            <a:t>NOB - Inversión Neta en Activos no financieros</a:t>
          </a:r>
        </a:p>
      </dgm:t>
    </dgm:pt>
    <dgm:pt modelId="{E38929A1-6B24-4A79-A47B-5F4CF8F76AA5}" type="parTrans" cxnId="{8705322A-40B7-44D7-BB58-88C27AE92746}">
      <dgm:prSet/>
      <dgm:spPr/>
      <dgm:t>
        <a:bodyPr/>
        <a:lstStyle/>
        <a:p>
          <a:endParaRPr lang="es-GT"/>
        </a:p>
      </dgm:t>
    </dgm:pt>
    <dgm:pt modelId="{6C0E31DC-DC6A-4951-B951-E7A962D0B6C1}" type="sibTrans" cxnId="{8705322A-40B7-44D7-BB58-88C27AE92746}">
      <dgm:prSet/>
      <dgm:spPr/>
      <dgm:t>
        <a:bodyPr/>
        <a:lstStyle/>
        <a:p>
          <a:endParaRPr lang="es-GT"/>
        </a:p>
      </dgm:t>
    </dgm:pt>
    <dgm:pt modelId="{BD4567F6-3394-4249-8246-15B8399EC30B}">
      <dgm:prSet custT="1"/>
      <dgm:spPr/>
      <dgm:t>
        <a:bodyPr/>
        <a:lstStyle/>
        <a:p>
          <a:pPr algn="just"/>
          <a:endParaRPr lang="en-US" sz="9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30C412-1879-45FD-B656-8212E252AB7D}" type="parTrans" cxnId="{18A6B64C-E072-4A9A-8C44-B76E3024E7E2}">
      <dgm:prSet/>
      <dgm:spPr/>
      <dgm:t>
        <a:bodyPr/>
        <a:lstStyle/>
        <a:p>
          <a:endParaRPr lang="es-GT"/>
        </a:p>
      </dgm:t>
    </dgm:pt>
    <dgm:pt modelId="{1C668166-0EE6-4A44-A162-28CB6C675204}" type="sibTrans" cxnId="{18A6B64C-E072-4A9A-8C44-B76E3024E7E2}">
      <dgm:prSet/>
      <dgm:spPr/>
      <dgm:t>
        <a:bodyPr/>
        <a:lstStyle/>
        <a:p>
          <a:endParaRPr lang="es-GT"/>
        </a:p>
      </dgm:t>
    </dgm:pt>
    <dgm:pt modelId="{5E8C2B34-B2FE-4EF5-BFF7-CAF28A22E256}">
      <dgm:prSet custT="1"/>
      <dgm:spPr/>
      <dgm:t>
        <a:bodyPr/>
        <a:lstStyle/>
        <a:p>
          <a:pPr algn="just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El NOB equivale a las variaciones en el patrimonio neto derivado a transacciones mientras que el NLB también equivale al financiamiento total (MEFP 2014)</a:t>
          </a:r>
        </a:p>
      </dgm:t>
    </dgm:pt>
    <dgm:pt modelId="{97075B03-CD2E-48F2-A87C-D2B6904D4F76}" type="parTrans" cxnId="{8B8499B9-6E26-4EA6-8B8A-B73FEFE233A8}">
      <dgm:prSet/>
      <dgm:spPr/>
      <dgm:t>
        <a:bodyPr/>
        <a:lstStyle/>
        <a:p>
          <a:endParaRPr lang="es-GT"/>
        </a:p>
      </dgm:t>
    </dgm:pt>
    <dgm:pt modelId="{F7B14CAA-31DB-45DF-892F-8A026856F662}" type="sibTrans" cxnId="{8B8499B9-6E26-4EA6-8B8A-B73FEFE233A8}">
      <dgm:prSet/>
      <dgm:spPr/>
      <dgm:t>
        <a:bodyPr/>
        <a:lstStyle/>
        <a:p>
          <a:endParaRPr lang="es-GT"/>
        </a:p>
      </dgm:t>
    </dgm:pt>
    <dgm:pt modelId="{68DFCB13-F778-41C4-88A6-8A8793BBCF6B}">
      <dgm:prSet phldrT="[Texto]" custT="1"/>
      <dgm:spPr>
        <a:ln w="9525">
          <a:solidFill>
            <a:schemeClr val="tx1"/>
          </a:solidFill>
        </a:ln>
      </dgm:spPr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gm:t>
    </dgm:pt>
    <dgm:pt modelId="{18C21111-088F-4CAC-A53E-A2F91EF73064}" type="sib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E528F8-5473-447A-B4D6-39039A5FF545}" type="parTrans" cxnId="{9E117C35-F0A3-4260-AE5F-3261DFB7C6EE}">
      <dgm:prSet/>
      <dgm:spPr/>
      <dgm:t>
        <a:bodyPr/>
        <a:lstStyle/>
        <a:p>
          <a:pPr algn="ctr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D8A26F-DCE5-401A-9566-DEFA18061B72}" type="pres">
      <dgm:prSet presAssocID="{FF27429C-5B6E-468F-AF42-BE9281FF2A23}" presName="Name0" presStyleCnt="0">
        <dgm:presLayoutVars>
          <dgm:dir/>
          <dgm:animLvl val="lvl"/>
          <dgm:resizeHandles val="exact"/>
        </dgm:presLayoutVars>
      </dgm:prSet>
      <dgm:spPr/>
    </dgm:pt>
    <dgm:pt modelId="{0F4686C6-42DE-499E-82C4-A9B146C0932F}" type="pres">
      <dgm:prSet presAssocID="{68DFCB13-F778-41C4-88A6-8A8793BBCF6B}" presName="linNode" presStyleCnt="0"/>
      <dgm:spPr/>
    </dgm:pt>
    <dgm:pt modelId="{07EE568B-6A23-417E-857A-D096AE89DF66}" type="pres">
      <dgm:prSet presAssocID="{68DFCB13-F778-41C4-88A6-8A8793BBCF6B}" presName="parentText" presStyleLbl="node1" presStyleIdx="0" presStyleCnt="1" custScaleX="45500" custScaleY="93796" custLinFactNeighborX="-13821" custLinFactNeighborY="-49">
        <dgm:presLayoutVars>
          <dgm:chMax val="1"/>
          <dgm:bulletEnabled val="1"/>
        </dgm:presLayoutVars>
      </dgm:prSet>
      <dgm:spPr/>
    </dgm:pt>
    <dgm:pt modelId="{2536B8DD-1898-487D-8A92-C1351B85FE61}" type="pres">
      <dgm:prSet presAssocID="{68DFCB13-F778-41C4-88A6-8A8793BBCF6B}" presName="descendantText" presStyleLbl="alignAccFollowNode1" presStyleIdx="0" presStyleCnt="1" custScaleX="130176">
        <dgm:presLayoutVars>
          <dgm:bulletEnabled val="1"/>
        </dgm:presLayoutVars>
      </dgm:prSet>
      <dgm:spPr/>
    </dgm:pt>
  </dgm:ptLst>
  <dgm:cxnLst>
    <dgm:cxn modelId="{E6E5B201-E1DB-42A1-AB10-773A5BB362A7}" type="presOf" srcId="{BD4567F6-3394-4249-8246-15B8399EC30B}" destId="{2536B8DD-1898-487D-8A92-C1351B85FE61}" srcOrd="0" destOrd="5" presId="urn:microsoft.com/office/officeart/2005/8/layout/vList5"/>
    <dgm:cxn modelId="{623BD00C-6909-4D10-AD3B-64639427FA30}" type="presOf" srcId="{01C29C0B-230A-4A2F-B7AB-59E88CC6B709}" destId="{2536B8DD-1898-487D-8A92-C1351B85FE61}" srcOrd="0" destOrd="0" presId="urn:microsoft.com/office/officeart/2005/8/layout/vList5"/>
    <dgm:cxn modelId="{5709FB28-95DF-4AA6-BBF9-2469471F9973}" type="presOf" srcId="{DDC0D7A1-C052-4A6F-92AE-1E351FF9A75B}" destId="{2536B8DD-1898-487D-8A92-C1351B85FE61}" srcOrd="0" destOrd="2" presId="urn:microsoft.com/office/officeart/2005/8/layout/vList5"/>
    <dgm:cxn modelId="{8705322A-40B7-44D7-BB58-88C27AE92746}" srcId="{68DFCB13-F778-41C4-88A6-8A8793BBCF6B}" destId="{84DBFA13-5332-4EB6-A74C-7D3F97044350}" srcOrd="4" destOrd="0" parTransId="{E38929A1-6B24-4A79-A47B-5F4CF8F76AA5}" sibTransId="{6C0E31DC-DC6A-4951-B951-E7A962D0B6C1}"/>
    <dgm:cxn modelId="{9E117C35-F0A3-4260-AE5F-3261DFB7C6EE}" srcId="{FF27429C-5B6E-468F-AF42-BE9281FF2A23}" destId="{68DFCB13-F778-41C4-88A6-8A8793BBCF6B}" srcOrd="0" destOrd="0" parTransId="{55E528F8-5473-447A-B4D6-39039A5FF545}" sibTransId="{18C21111-088F-4CAC-A53E-A2F91EF73064}"/>
    <dgm:cxn modelId="{A85E3645-D510-4117-B42D-185A89001117}" type="presOf" srcId="{5E8C2B34-B2FE-4EF5-BFF7-CAF28A22E256}" destId="{2536B8DD-1898-487D-8A92-C1351B85FE61}" srcOrd="0" destOrd="6" presId="urn:microsoft.com/office/officeart/2005/8/layout/vList5"/>
    <dgm:cxn modelId="{83FF9646-5984-4553-953E-2FF158E2A563}" type="presOf" srcId="{68DFCB13-F778-41C4-88A6-8A8793BBCF6B}" destId="{07EE568B-6A23-417E-857A-D096AE89DF66}" srcOrd="0" destOrd="0" presId="urn:microsoft.com/office/officeart/2005/8/layout/vList5"/>
    <dgm:cxn modelId="{18A6B64C-E072-4A9A-8C44-B76E3024E7E2}" srcId="{68DFCB13-F778-41C4-88A6-8A8793BBCF6B}" destId="{BD4567F6-3394-4249-8246-15B8399EC30B}" srcOrd="5" destOrd="0" parTransId="{C130C412-1879-45FD-B656-8212E252AB7D}" sibTransId="{1C668166-0EE6-4A44-A162-28CB6C675204}"/>
    <dgm:cxn modelId="{047B5950-955A-4E9C-890F-03A957F573F6}" srcId="{68DFCB13-F778-41C4-88A6-8A8793BBCF6B}" destId="{01C29C0B-230A-4A2F-B7AB-59E88CC6B709}" srcOrd="0" destOrd="0" parTransId="{BD00C7DA-D115-4DC8-96E9-9A8238F85148}" sibTransId="{65EB422C-F1D3-4985-A61D-252683A994E5}"/>
    <dgm:cxn modelId="{5E70EA89-E163-4B3E-926F-E5EFBF2F139F}" srcId="{68DFCB13-F778-41C4-88A6-8A8793BBCF6B}" destId="{BFA6ACE3-485E-404D-A58A-7823AB008BFD}" srcOrd="1" destOrd="0" parTransId="{0E966B43-D3D5-42FD-AE76-719ECE059C68}" sibTransId="{5333C141-0D65-4830-8280-A0D9852BFBC6}"/>
    <dgm:cxn modelId="{8B8499B9-6E26-4EA6-8B8A-B73FEFE233A8}" srcId="{68DFCB13-F778-41C4-88A6-8A8793BBCF6B}" destId="{5E8C2B34-B2FE-4EF5-BFF7-CAF28A22E256}" srcOrd="6" destOrd="0" parTransId="{97075B03-CD2E-48F2-A87C-D2B6904D4F76}" sibTransId="{F7B14CAA-31DB-45DF-892F-8A026856F662}"/>
    <dgm:cxn modelId="{F76FC0BB-E260-4052-8CD9-D167148DB746}" srcId="{68DFCB13-F778-41C4-88A6-8A8793BBCF6B}" destId="{DDC0D7A1-C052-4A6F-92AE-1E351FF9A75B}" srcOrd="2" destOrd="0" parTransId="{3493B001-C46C-4D6E-8C43-1F144DCF5867}" sibTransId="{C897CF63-1981-460B-8FBF-0A9B90548127}"/>
    <dgm:cxn modelId="{22BFE8BC-69E5-41E2-ABA2-BA2BB9FF112F}" type="presOf" srcId="{84DBFA13-5332-4EB6-A74C-7D3F97044350}" destId="{2536B8DD-1898-487D-8A92-C1351B85FE61}" srcOrd="0" destOrd="4" presId="urn:microsoft.com/office/officeart/2005/8/layout/vList5"/>
    <dgm:cxn modelId="{32531EC7-5E8D-42C3-BC8E-0485249B5C90}" srcId="{68DFCB13-F778-41C4-88A6-8A8793BBCF6B}" destId="{4AAF067F-8991-4874-A53B-80AFD9DEAC70}" srcOrd="3" destOrd="0" parTransId="{CD78D7DD-74D2-4467-8A80-C751B7FCBB6A}" sibTransId="{135C9C65-7566-42BF-BA19-EEB1D887E512}"/>
    <dgm:cxn modelId="{6F9FEAD2-7AA1-42D1-9C1E-5B6822AA959A}" type="presOf" srcId="{BFA6ACE3-485E-404D-A58A-7823AB008BFD}" destId="{2536B8DD-1898-487D-8A92-C1351B85FE61}" srcOrd="0" destOrd="1" presId="urn:microsoft.com/office/officeart/2005/8/layout/vList5"/>
    <dgm:cxn modelId="{5F01F7DA-61FC-43A1-858F-551A9CA1F223}" type="presOf" srcId="{FF27429C-5B6E-468F-AF42-BE9281FF2A23}" destId="{51D8A26F-DCE5-401A-9566-DEFA18061B72}" srcOrd="0" destOrd="0" presId="urn:microsoft.com/office/officeart/2005/8/layout/vList5"/>
    <dgm:cxn modelId="{904AE9DD-3693-4922-8C23-127E608C7198}" type="presOf" srcId="{4AAF067F-8991-4874-A53B-80AFD9DEAC70}" destId="{2536B8DD-1898-487D-8A92-C1351B85FE61}" srcOrd="0" destOrd="3" presId="urn:microsoft.com/office/officeart/2005/8/layout/vList5"/>
    <dgm:cxn modelId="{BE291995-06EE-41D6-A8F6-1A2EB996F80B}" type="presParOf" srcId="{51D8A26F-DCE5-401A-9566-DEFA18061B72}" destId="{0F4686C6-42DE-499E-82C4-A9B146C0932F}" srcOrd="0" destOrd="0" presId="urn:microsoft.com/office/officeart/2005/8/layout/vList5"/>
    <dgm:cxn modelId="{A2AF2252-F07C-47AC-BA27-F13D35599048}" type="presParOf" srcId="{0F4686C6-42DE-499E-82C4-A9B146C0932F}" destId="{07EE568B-6A23-417E-857A-D096AE89DF66}" srcOrd="0" destOrd="0" presId="urn:microsoft.com/office/officeart/2005/8/layout/vList5"/>
    <dgm:cxn modelId="{2D6CD9B5-C48A-49BD-B455-76D38179A561}" type="presParOf" srcId="{0F4686C6-42DE-499E-82C4-A9B146C0932F}" destId="{2536B8DD-1898-487D-8A92-C1351B85FE61}" srcOrd="1" destOrd="0" presId="urn:microsoft.com/office/officeart/2005/8/layout/vList5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36B8DD-1898-487D-8A92-C1351B85FE61}">
      <dsp:nvSpPr>
        <dsp:cNvPr id="0" name=""/>
        <dsp:cNvSpPr/>
      </dsp:nvSpPr>
      <dsp:spPr>
        <a:xfrm rot="5400000">
          <a:off x="1524242" y="-733623"/>
          <a:ext cx="592257" cy="2208292"/>
        </a:xfrm>
        <a:prstGeom prst="round2Same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  <a:alpha val="90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En los </a:t>
          </a:r>
          <a:r>
            <a:rPr lang="en-US" sz="900" b="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estándares</a:t>
          </a: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 internacionales, un ingreso es </a:t>
          </a: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un aumento del patrimonio neto como resultado de una transacción </a:t>
          </a: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(MEFP 2014) </a:t>
          </a:r>
        </a:p>
      </dsp:txBody>
      <dsp:txXfrm rot="-5400000">
        <a:off x="716225" y="103306"/>
        <a:ext cx="2179380" cy="534433"/>
      </dsp:txXfrm>
    </dsp:sp>
    <dsp:sp modelId="{07EE568B-6A23-417E-857A-D096AE89DF66}">
      <dsp:nvSpPr>
        <dsp:cNvPr id="0" name=""/>
        <dsp:cNvSpPr/>
      </dsp:nvSpPr>
      <dsp:spPr>
        <a:xfrm>
          <a:off x="0" y="0"/>
          <a:ext cx="715931" cy="740321"/>
        </a:xfrm>
        <a:prstGeom prst="roundRect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sp:txBody>
      <dsp:txXfrm>
        <a:off x="34949" y="34949"/>
        <a:ext cx="646033" cy="6704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36B8DD-1898-487D-8A92-C1351B85FE61}">
      <dsp:nvSpPr>
        <dsp:cNvPr id="0" name=""/>
        <dsp:cNvSpPr/>
      </dsp:nvSpPr>
      <dsp:spPr>
        <a:xfrm rot="5400000">
          <a:off x="1524242" y="-733623"/>
          <a:ext cx="592257" cy="2208292"/>
        </a:xfrm>
        <a:prstGeom prst="round2Same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  <a:alpha val="90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En los </a:t>
          </a:r>
          <a:r>
            <a:rPr lang="en-US" sz="900" b="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estándares</a:t>
          </a: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 internacionales, un gasto es </a:t>
          </a: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una disminución del patrimonio neto como resultado de una transacción </a:t>
          </a: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(MEFP 2014) </a:t>
          </a:r>
        </a:p>
      </dsp:txBody>
      <dsp:txXfrm rot="-5400000">
        <a:off x="716225" y="103306"/>
        <a:ext cx="2179380" cy="534433"/>
      </dsp:txXfrm>
    </dsp:sp>
    <dsp:sp modelId="{07EE568B-6A23-417E-857A-D096AE89DF66}">
      <dsp:nvSpPr>
        <dsp:cNvPr id="0" name=""/>
        <dsp:cNvSpPr/>
      </dsp:nvSpPr>
      <dsp:spPr>
        <a:xfrm>
          <a:off x="0" y="0"/>
          <a:ext cx="715931" cy="740321"/>
        </a:xfrm>
        <a:prstGeom prst="roundRect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sp:txBody>
      <dsp:txXfrm>
        <a:off x="34949" y="34949"/>
        <a:ext cx="646033" cy="6704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36B8DD-1898-487D-8A92-C1351B85FE61}">
      <dsp:nvSpPr>
        <dsp:cNvPr id="0" name=""/>
        <dsp:cNvSpPr/>
      </dsp:nvSpPr>
      <dsp:spPr>
        <a:xfrm rot="5400000">
          <a:off x="1351669" y="-456038"/>
          <a:ext cx="1128688" cy="2324316"/>
        </a:xfrm>
        <a:prstGeom prst="round2Same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  <a:alpha val="90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Una transacción es un flujo económico que consiste en una interacción entre unidades institucionales </a:t>
          </a: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por mutuo acuerdo o mediante la aplicación de la ley.... (MEFP 2014)</a:t>
          </a: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. Las transacciones en activos y pasivos </a:t>
          </a: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no generan cambios en el patrimonio neto.</a:t>
          </a:r>
          <a:endParaRPr lang="en-US" sz="9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753855" y="196874"/>
        <a:ext cx="2269218" cy="1018492"/>
      </dsp:txXfrm>
    </dsp:sp>
    <dsp:sp modelId="{07EE568B-6A23-417E-857A-D096AE89DF66}">
      <dsp:nvSpPr>
        <dsp:cNvPr id="0" name=""/>
        <dsp:cNvSpPr/>
      </dsp:nvSpPr>
      <dsp:spPr>
        <a:xfrm>
          <a:off x="0" y="80290"/>
          <a:ext cx="753546" cy="1250276"/>
        </a:xfrm>
        <a:prstGeom prst="roundRect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sp:txBody>
      <dsp:txXfrm>
        <a:off x="36785" y="117075"/>
        <a:ext cx="679976" cy="117670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36B8DD-1898-487D-8A92-C1351B85FE61}">
      <dsp:nvSpPr>
        <dsp:cNvPr id="0" name=""/>
        <dsp:cNvSpPr/>
      </dsp:nvSpPr>
      <dsp:spPr>
        <a:xfrm rot="5400000">
          <a:off x="1340883" y="-435918"/>
          <a:ext cx="1170811" cy="2336781"/>
        </a:xfrm>
        <a:prstGeom prst="round2Same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  <a:alpha val="90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Las "Erogaciones" poseen cierta similitud conceptual al concepto de gasto en la metodología nacional, sin embargo, existen diferencias. </a:t>
          </a: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En </a:t>
          </a:r>
          <a:r>
            <a:rPr lang="en-US" sz="9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los </a:t>
          </a:r>
          <a:r>
            <a:rPr lang="en-US" sz="900" b="0" strike="noStrike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estándares</a:t>
          </a:r>
          <a:r>
            <a:rPr lang="en-US" sz="9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internacionales,</a:t>
          </a:r>
          <a:r>
            <a:rPr lang="en-US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9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una erogación es </a:t>
          </a:r>
          <a:r>
            <a:rPr lang="en-US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la suma de los gastos y la inversión neta en activos </a:t>
          </a: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no financieros (MEFP 2014) </a:t>
          </a:r>
          <a:endParaRPr lang="en-US" sz="9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757898" y="204221"/>
        <a:ext cx="2279627" cy="1056503"/>
      </dsp:txXfrm>
    </dsp:sp>
    <dsp:sp modelId="{07EE568B-6A23-417E-857A-D096AE89DF66}">
      <dsp:nvSpPr>
        <dsp:cNvPr id="0" name=""/>
        <dsp:cNvSpPr/>
      </dsp:nvSpPr>
      <dsp:spPr>
        <a:xfrm>
          <a:off x="0" y="0"/>
          <a:ext cx="757588" cy="1463514"/>
        </a:xfrm>
        <a:prstGeom prst="roundRect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sp:txBody>
      <dsp:txXfrm>
        <a:off x="36982" y="36982"/>
        <a:ext cx="683624" cy="138955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36B8DD-1898-487D-8A92-C1351B85FE61}">
      <dsp:nvSpPr>
        <dsp:cNvPr id="0" name=""/>
        <dsp:cNvSpPr/>
      </dsp:nvSpPr>
      <dsp:spPr>
        <a:xfrm rot="5400000">
          <a:off x="2610928" y="-1428933"/>
          <a:ext cx="1644312" cy="4915266"/>
        </a:xfrm>
        <a:prstGeom prst="round2Same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  <a:alpha val="90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Existe una diferencia importante entre el concepto de resultado fiscal con metodología nacional y los </a:t>
          </a:r>
          <a:r>
            <a:rPr lang="en-US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estándares internacionales, lo cual </a:t>
          </a: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hace que éstos no sean perfectamente comparables. </a:t>
          </a: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En los </a:t>
          </a:r>
          <a:r>
            <a:rPr lang="en-US" sz="900" b="1" strike="noStrike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estándares</a:t>
          </a: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internacionales existen los siguientes indicadores fiscales:</a:t>
          </a:r>
          <a:endParaRPr lang="en-US" sz="9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1.) Resultado Operativo Neto (NOB) = </a:t>
          </a: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Ingresos - Gastos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2.) Resultado Operativo Bruto (GOB) = </a:t>
          </a: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Ingresos - Gastos + Consumo de capital fijo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3.) P</a:t>
          </a:r>
          <a:r>
            <a:rPr lang="en-US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réstamo </a:t>
          </a: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 Endeudamiento Neto (NLB) = </a:t>
          </a:r>
          <a:r>
            <a:rPr lang="en-US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NOB - Inversión Neta en Activos no financieros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El NOB equivale a las variaciones en el patrimonio neto derivado a transacciones mientras que el NLB también equivale al financiamiento total (MEFP 2014)</a:t>
          </a:r>
        </a:p>
      </dsp:txBody>
      <dsp:txXfrm rot="-5400000">
        <a:off x="975452" y="286812"/>
        <a:ext cx="4834997" cy="1483774"/>
      </dsp:txXfrm>
    </dsp:sp>
    <dsp:sp modelId="{07EE568B-6A23-417E-857A-D096AE89DF66}">
      <dsp:nvSpPr>
        <dsp:cNvPr id="0" name=""/>
        <dsp:cNvSpPr/>
      </dsp:nvSpPr>
      <dsp:spPr>
        <a:xfrm>
          <a:off x="0" y="63755"/>
          <a:ext cx="966384" cy="1927874"/>
        </a:xfrm>
        <a:prstGeom prst="roundRect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Nota Informativa</a:t>
          </a:r>
        </a:p>
      </dsp:txBody>
      <dsp:txXfrm>
        <a:off x="47175" y="110930"/>
        <a:ext cx="872034" cy="18335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0.51463</cdr:x>
      <cdr:y>0.86122</cdr:y>
    </cdr:from>
    <cdr:to>
      <cdr:x>1</cdr:x>
      <cdr:y>1</cdr:y>
    </cdr:to>
    <cdr:sp macro="" textlink="">
      <cdr:nvSpPr>
        <cdr:cNvPr id="2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52576" y="2009775"/>
          <a:ext cx="1464309" cy="3238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*Cifras preliminares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Fuente: MINFIN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0.00247</cdr:x>
      <cdr:y>0.90751</cdr:y>
    </cdr:from>
    <cdr:to>
      <cdr:x>0.18837</cdr:x>
      <cdr:y>1</cdr:y>
    </cdr:to>
    <cdr:sp macro="" textlink="">
      <cdr:nvSpPr>
        <cdr:cNvPr id="2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659" y="3299156"/>
          <a:ext cx="1103262" cy="3362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*Cifras preliminares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l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Fuente: MINFIN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l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  <a:p xmlns:a="http://schemas.openxmlformats.org/drawingml/2006/main">
          <a:pPr algn="l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0.81689</cdr:x>
      <cdr:y>0.28701</cdr:y>
    </cdr:from>
    <cdr:to>
      <cdr:x>0.81689</cdr:x>
      <cdr:y>0.88429</cdr:y>
    </cdr:to>
    <cdr:cxnSp macro="">
      <cdr:nvCxnSpPr>
        <cdr:cNvPr id="3" name="Conector recto 2"/>
        <cdr:cNvCxnSpPr/>
      </cdr:nvCxnSpPr>
      <cdr:spPr>
        <a:xfrm xmlns:a="http://schemas.openxmlformats.org/drawingml/2006/main">
          <a:off x="4878109" y="520510"/>
          <a:ext cx="0" cy="1083203"/>
        </a:xfrm>
        <a:prstGeom xmlns:a="http://schemas.openxmlformats.org/drawingml/2006/main" prst="line">
          <a:avLst/>
        </a:prstGeom>
        <a:effectLst xmlns:a="http://schemas.openxmlformats.org/drawingml/2006/main">
          <a:outerShdw blurRad="50800" dist="38100" dir="18900000" algn="bl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0.53462</cdr:x>
      <cdr:y>0.82756</cdr:y>
    </cdr:from>
    <cdr:to>
      <cdr:x>1</cdr:x>
      <cdr:y>0.82756</cdr:y>
    </cdr:to>
    <cdr:cxnSp macro="">
      <cdr:nvCxnSpPr>
        <cdr:cNvPr id="3" name="Conector recto 2"/>
        <cdr:cNvCxnSpPr/>
      </cdr:nvCxnSpPr>
      <cdr:spPr>
        <a:xfrm xmlns:a="http://schemas.openxmlformats.org/drawingml/2006/main">
          <a:off x="1566032" y="3638546"/>
          <a:ext cx="1363223" cy="0"/>
        </a:xfrm>
        <a:prstGeom xmlns:a="http://schemas.openxmlformats.org/drawingml/2006/main" prst="line">
          <a:avLst/>
        </a:prstGeom>
        <a:effectLst xmlns:a="http://schemas.openxmlformats.org/drawingml/2006/main">
          <a:outerShdw blurRad="50800" dist="38100" dir="18900000" algn="bl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0.48775</cdr:x>
      <cdr:y>0.93199</cdr:y>
    </cdr:from>
    <cdr:to>
      <cdr:x>0.98852</cdr:x>
      <cdr:y>1</cdr:y>
    </cdr:to>
    <cdr:sp macro="" textlink="">
      <cdr:nvSpPr>
        <cdr:cNvPr id="4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28750" y="4097718"/>
          <a:ext cx="1466877" cy="2990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*Cifras preliminares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Fuente: MINFIN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0.59864</cdr:x>
      <cdr:y>0.8563</cdr:y>
    </cdr:from>
    <cdr:to>
      <cdr:x>0.99767</cdr:x>
      <cdr:y>1</cdr:y>
    </cdr:to>
    <cdr:sp macro="" textlink="">
      <cdr:nvSpPr>
        <cdr:cNvPr id="2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76400" y="1533376"/>
          <a:ext cx="1117425" cy="2573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*Cifras preliminares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Fuente: MINFIN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0.00533</cdr:x>
      <cdr:y>0.87059</cdr:y>
    </cdr:from>
    <cdr:to>
      <cdr:x>0.43206</cdr:x>
      <cdr:y>0.99069</cdr:y>
    </cdr:to>
    <cdr:sp macro="" textlink="">
      <cdr:nvSpPr>
        <cdr:cNvPr id="2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570" y="2114549"/>
          <a:ext cx="1166530" cy="2917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*Cifras preliminares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l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Fuente: MINFIN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l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  <a:p xmlns:a="http://schemas.openxmlformats.org/drawingml/2006/main">
          <a:pPr algn="l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0.14423</cdr:x>
      <cdr:y>0.23257</cdr:y>
    </cdr:from>
    <cdr:to>
      <cdr:x>0.14544</cdr:x>
      <cdr:y>0.80053</cdr:y>
    </cdr:to>
    <cdr:cxnSp macro="">
      <cdr:nvCxnSpPr>
        <cdr:cNvPr id="3" name="Conector recto 2"/>
        <cdr:cNvCxnSpPr/>
      </cdr:nvCxnSpPr>
      <cdr:spPr>
        <a:xfrm xmlns:a="http://schemas.openxmlformats.org/drawingml/2006/main" flipH="1">
          <a:off x="857250" y="555284"/>
          <a:ext cx="7187" cy="1356066"/>
        </a:xfrm>
        <a:prstGeom xmlns:a="http://schemas.openxmlformats.org/drawingml/2006/main" prst="line">
          <a:avLst/>
        </a:prstGeom>
        <a:effectLst xmlns:a="http://schemas.openxmlformats.org/drawingml/2006/main">
          <a:outerShdw blurRad="50800" dist="38100" dir="18900000" algn="bl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0.58965</cdr:x>
      <cdr:y>0.88564</cdr:y>
    </cdr:from>
    <cdr:to>
      <cdr:x>1</cdr:x>
      <cdr:y>1</cdr:y>
    </cdr:to>
    <cdr:sp macro="" textlink="">
      <cdr:nvSpPr>
        <cdr:cNvPr id="4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04644" y="2114550"/>
          <a:ext cx="2438956" cy="2730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*Cifras preliminares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Fuente: MINFIN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0.74628</cdr:x>
      <cdr:y>0.84772</cdr:y>
    </cdr:from>
    <cdr:to>
      <cdr:x>1</cdr:x>
      <cdr:y>1</cdr:y>
    </cdr:to>
    <cdr:sp macro="" textlink="">
      <cdr:nvSpPr>
        <cdr:cNvPr id="2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86276" y="1590676"/>
          <a:ext cx="1525269" cy="2857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*Cifras preliminares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8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Fuente: MINFIN</a:t>
          </a:r>
          <a:endParaRPr lang="es-GT" sz="110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  <a:p xmlns:a="http://schemas.openxmlformats.org/drawingml/2006/main">
          <a:pPr algn="r">
            <a:spcAft>
              <a:spcPts val="0"/>
            </a:spcAft>
          </a:pPr>
          <a:r>
            <a:rPr lang="es-GT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0.83606</cdr:x>
      <cdr:y>0.09866</cdr:y>
    </cdr:from>
    <cdr:to>
      <cdr:x>0.97155</cdr:x>
      <cdr:y>0.87255</cdr:y>
    </cdr:to>
    <cdr:sp macro="" textlink="">
      <cdr:nvSpPr>
        <cdr:cNvPr id="2" name="Rectángulo: esquinas redondeadas 1"/>
        <cdr:cNvSpPr/>
      </cdr:nvSpPr>
      <cdr:spPr>
        <a:xfrm xmlns:a="http://schemas.openxmlformats.org/drawingml/2006/main">
          <a:off x="2762249" y="214323"/>
          <a:ext cx="447659" cy="1681148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tx2">
            <a:alpha val="26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s-GT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0.8357</cdr:x>
      <cdr:y>0.12258</cdr:y>
    </cdr:from>
    <cdr:to>
      <cdr:x>0.97155</cdr:x>
      <cdr:y>0.93449</cdr:y>
    </cdr:to>
    <cdr:sp macro="" textlink="">
      <cdr:nvSpPr>
        <cdr:cNvPr id="2" name="Rectángulo: esquinas redondeadas 1"/>
        <cdr:cNvSpPr/>
      </cdr:nvSpPr>
      <cdr:spPr>
        <a:xfrm xmlns:a="http://schemas.openxmlformats.org/drawingml/2006/main">
          <a:off x="2990853" y="254687"/>
          <a:ext cx="486188" cy="1686928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tx2">
            <a:alpha val="26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s-GT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Dirección de Análisis y Política Fiscal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85B47F-8224-4013-8EE9-B6C68F06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3122</Words>
  <Characters>17172</Characters>
  <Application>Microsoft Office Word</Application>
  <DocSecurity>0</DocSecurity>
  <Lines>143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 las Finanzas públicas</vt:lpstr>
      <vt:lpstr>Informe de las FinanzAs públicas</vt:lpstr>
    </vt:vector>
  </TitlesOfParts>
  <Company>Dirección de Análisis y Política Fiscal</Company>
  <LinksUpToDate>false</LinksUpToDate>
  <CharactersWithSpaces>20254</CharactersWithSpaces>
  <SharedDoc>false</SharedDoc>
  <HLinks>
    <vt:vector size="102" baseType="variant">
      <vt:variant>
        <vt:i4>1966137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_Toc71108078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_Toc71108077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_Toc71108075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_Toc71108074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_Toc71108073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_Toc71108066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_Toc71108065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_Toc71108064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_Toc71108062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_Toc71108061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_Toc71108059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_Toc71108058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_Toc71108055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_Toc71108051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_Toc71108050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_Toc71108049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_Toc71108048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las Finanzas públicas</dc:title>
  <dc:subject>Segundo Trimestre 2023</dc:subject>
  <dc:creator>DAPF</dc:creator>
  <cp:keywords/>
  <dc:description/>
  <cp:lastModifiedBy>Carlos Herrera</cp:lastModifiedBy>
  <cp:revision>23</cp:revision>
  <cp:lastPrinted>2023-08-17T19:10:00Z</cp:lastPrinted>
  <dcterms:created xsi:type="dcterms:W3CDTF">2023-08-16T20:10:00Z</dcterms:created>
  <dcterms:modified xsi:type="dcterms:W3CDTF">2023-08-17T19:10:00Z</dcterms:modified>
  <cp:category>Ministerio de Finanzas Públicas</cp:category>
</cp:coreProperties>
</file>